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3CCB" w14:textId="69441F2B" w:rsidR="001848E1" w:rsidRPr="0030052A" w:rsidRDefault="001848E1" w:rsidP="00075AF6">
      <w:pPr>
        <w:spacing w:after="0" w:line="276" w:lineRule="auto"/>
        <w:jc w:val="both"/>
        <w:rPr>
          <w:rFonts w:ascii="Times New Roman" w:hAnsi="Times New Roman" w:cs="Times New Roman"/>
          <w:b/>
          <w:bCs/>
          <w:lang w:val="en-GB"/>
        </w:rPr>
      </w:pPr>
      <w:commentRangeStart w:id="0"/>
      <w:r w:rsidRPr="0030052A">
        <w:rPr>
          <w:rFonts w:ascii="Times New Roman" w:hAnsi="Times New Roman" w:cs="Times New Roman"/>
          <w:b/>
          <w:bCs/>
          <w:lang w:val="en-GB"/>
        </w:rPr>
        <w:t>EXPERT WITNESSES IN ARBITRATION PROCEEDINGS: HIRED GUNS OR NEUTRAL FACT-FINDERS?</w:t>
      </w:r>
      <w:r w:rsidRPr="0030052A">
        <w:rPr>
          <w:rFonts w:ascii="Times New Roman" w:hAnsi="Times New Roman" w:cs="Times New Roman"/>
          <w:lang w:val="en-GB"/>
        </w:rPr>
        <w:t xml:space="preserve"> </w:t>
      </w:r>
      <w:r w:rsidRPr="0030052A">
        <w:rPr>
          <w:rFonts w:ascii="Times New Roman" w:hAnsi="Times New Roman" w:cs="Times New Roman"/>
          <w:b/>
          <w:bCs/>
          <w:lang w:val="en-GB"/>
        </w:rPr>
        <w:t>RETHINKING INDEPENDENCE, PROCEDURAL INTEGRITY, AND EVIDENTIARY VALUE IN ARBITRATION PRACTICE</w:t>
      </w:r>
      <w:commentRangeEnd w:id="0"/>
      <w:r w:rsidR="00075AF6" w:rsidRPr="0030052A">
        <w:rPr>
          <w:rStyle w:val="CommentReference"/>
          <w:rFonts w:ascii="Times New Roman" w:hAnsi="Times New Roman" w:cs="Times New Roman"/>
          <w:b/>
          <w:bCs/>
          <w:sz w:val="24"/>
          <w:szCs w:val="24"/>
          <w:lang w:val="en-GB"/>
        </w:rPr>
        <w:commentReference w:id="0"/>
      </w:r>
    </w:p>
    <w:p w14:paraId="034739D3" w14:textId="77777777" w:rsidR="001848E1" w:rsidRPr="0030052A" w:rsidRDefault="001848E1" w:rsidP="00075AF6">
      <w:pPr>
        <w:spacing w:after="0" w:line="276" w:lineRule="auto"/>
        <w:jc w:val="both"/>
        <w:rPr>
          <w:rFonts w:ascii="Times New Roman" w:hAnsi="Times New Roman" w:cs="Times New Roman"/>
          <w:b/>
          <w:bCs/>
          <w:lang w:val="en-GB"/>
        </w:rPr>
      </w:pPr>
    </w:p>
    <w:p w14:paraId="5E8213B7" w14:textId="77777777" w:rsidR="001848E1" w:rsidRPr="0030052A" w:rsidRDefault="001848E1" w:rsidP="00075AF6">
      <w:pPr>
        <w:spacing w:after="0" w:line="276" w:lineRule="auto"/>
        <w:jc w:val="both"/>
        <w:rPr>
          <w:rFonts w:ascii="Times New Roman" w:hAnsi="Times New Roman" w:cs="Times New Roman"/>
          <w:b/>
          <w:bCs/>
          <w:lang w:val="en-GB"/>
        </w:rPr>
        <w:sectPr w:rsidR="001848E1" w:rsidRPr="0030052A" w:rsidSect="00E70376">
          <w:headerReference w:type="even" r:id="rId12"/>
          <w:headerReference w:type="default" r:id="rId13"/>
          <w:footerReference w:type="even" r:id="rId14"/>
          <w:footerReference w:type="default" r:id="rId15"/>
          <w:pgSz w:w="11906" w:h="16838"/>
          <w:pgMar w:top="2246" w:right="2549" w:bottom="4320" w:left="2520" w:header="708" w:footer="708" w:gutter="0"/>
          <w:pgNumType w:start="172"/>
          <w:cols w:space="708"/>
          <w:docGrid w:linePitch="360"/>
        </w:sectPr>
      </w:pPr>
    </w:p>
    <w:p w14:paraId="450A4D6A" w14:textId="4D12ACE5" w:rsidR="0030052A" w:rsidRDefault="001848E1" w:rsidP="00075AF6">
      <w:pPr>
        <w:spacing w:after="0" w:line="276" w:lineRule="auto"/>
        <w:jc w:val="center"/>
        <w:rPr>
          <w:rFonts w:ascii="Times New Roman" w:hAnsi="Times New Roman" w:cs="Times New Roman"/>
          <w:b/>
          <w:bCs/>
          <w:lang w:val="en-GB"/>
        </w:rPr>
      </w:pPr>
      <w:r w:rsidRPr="0030052A">
        <w:rPr>
          <w:rFonts w:ascii="Times New Roman" w:hAnsi="Times New Roman" w:cs="Times New Roman"/>
          <w:b/>
          <w:bCs/>
          <w:lang w:val="en-GB"/>
        </w:rPr>
        <w:t>Agada John Elachi</w:t>
      </w:r>
      <w:r w:rsidR="00A855E1" w:rsidRPr="00A855E1">
        <w:rPr>
          <w:rStyle w:val="FootnoteReference"/>
          <w:rFonts w:ascii="Times New Roman" w:hAnsi="Times New Roman" w:cs="Times New Roman"/>
          <w:b/>
          <w:bCs/>
          <w:lang w:val="en-GB"/>
        </w:rPr>
        <w:footnoteReference w:customMarkFollows="1" w:id="1"/>
        <w:sym w:font="Symbol" w:char="F02A"/>
      </w:r>
    </w:p>
    <w:p w14:paraId="3F3B38F0" w14:textId="35492E1A" w:rsidR="001848E1" w:rsidRPr="0030052A" w:rsidRDefault="001848E1" w:rsidP="00075AF6">
      <w:pPr>
        <w:spacing w:after="0" w:line="276" w:lineRule="auto"/>
        <w:jc w:val="center"/>
        <w:rPr>
          <w:rFonts w:ascii="Times New Roman" w:hAnsi="Times New Roman" w:cs="Times New Roman"/>
          <w:lang w:val="en-GB"/>
        </w:rPr>
        <w:sectPr w:rsidR="001848E1" w:rsidRPr="0030052A" w:rsidSect="001848E1">
          <w:footnotePr>
            <w:numFmt w:val="chicago"/>
            <w:numRestart w:val="eachSect"/>
          </w:footnotePr>
          <w:type w:val="continuous"/>
          <w:pgSz w:w="11906" w:h="16838"/>
          <w:pgMar w:top="1440" w:right="1440" w:bottom="1440" w:left="1440" w:header="708" w:footer="708" w:gutter="0"/>
          <w:cols w:space="708"/>
          <w:docGrid w:linePitch="360"/>
        </w:sectPr>
      </w:pPr>
      <w:r w:rsidRPr="0030052A">
        <w:rPr>
          <w:rFonts w:ascii="Times New Roman" w:hAnsi="Times New Roman" w:cs="Times New Roman"/>
          <w:b/>
          <w:bCs/>
          <w:lang w:val="en-GB"/>
        </w:rPr>
        <w:t>Ifeoma G</w:t>
      </w:r>
      <w:r w:rsidR="006B3EBE" w:rsidRPr="0030052A">
        <w:rPr>
          <w:rFonts w:ascii="Times New Roman" w:hAnsi="Times New Roman" w:cs="Times New Roman"/>
          <w:b/>
          <w:bCs/>
          <w:lang w:val="en-GB"/>
        </w:rPr>
        <w:t>.</w:t>
      </w:r>
      <w:r w:rsidRPr="0030052A">
        <w:rPr>
          <w:rFonts w:ascii="Times New Roman" w:hAnsi="Times New Roman" w:cs="Times New Roman"/>
          <w:b/>
          <w:bCs/>
          <w:lang w:val="en-GB"/>
        </w:rPr>
        <w:t xml:space="preserve"> Konwea</w:t>
      </w:r>
      <w:r w:rsidR="00A855E1" w:rsidRPr="00A855E1">
        <w:rPr>
          <w:rStyle w:val="FootnoteReference"/>
          <w:rFonts w:ascii="Times New Roman" w:hAnsi="Times New Roman" w:cs="Times New Roman"/>
          <w:b/>
          <w:bCs/>
          <w:lang w:val="en-GB"/>
        </w:rPr>
        <w:footnoteReference w:customMarkFollows="1" w:id="2"/>
        <w:sym w:font="Symbol" w:char="F02A"/>
      </w:r>
      <w:r w:rsidR="00A855E1" w:rsidRPr="00A855E1">
        <w:rPr>
          <w:rStyle w:val="FootnoteReference"/>
          <w:rFonts w:ascii="Times New Roman" w:hAnsi="Times New Roman" w:cs="Times New Roman"/>
          <w:b/>
          <w:bCs/>
          <w:lang w:val="en-GB"/>
        </w:rPr>
        <w:sym w:font="Symbol" w:char="F02A"/>
      </w:r>
      <w:r w:rsidRPr="0030052A">
        <w:rPr>
          <w:rStyle w:val="FootnoteReference"/>
          <w:rFonts w:ascii="Times New Roman" w:hAnsi="Times New Roman" w:cs="Times New Roman"/>
          <w:b/>
          <w:bCs/>
          <w:lang w:val="en-GB"/>
        </w:rPr>
        <w:footnoteReference w:id="3"/>
      </w:r>
    </w:p>
    <w:p w14:paraId="6CBABF75" w14:textId="60B77F79" w:rsidR="001848E1" w:rsidRPr="0030052A" w:rsidRDefault="00075AF6" w:rsidP="00075AF6">
      <w:pPr>
        <w:spacing w:after="0" w:line="276" w:lineRule="auto"/>
        <w:jc w:val="both"/>
        <w:rPr>
          <w:rFonts w:ascii="Times New Roman" w:hAnsi="Times New Roman" w:cs="Times New Roman"/>
          <w:lang w:val="en-GB"/>
        </w:rPr>
      </w:pPr>
      <w:r>
        <w:rPr>
          <w:rFonts w:ascii="Times New Roman" w:hAnsi="Times New Roman" w:cs="Times New Roman"/>
          <w:lang w:val="en-GB"/>
        </w:rPr>
        <w:t>a</w:t>
      </w:r>
    </w:p>
    <w:p w14:paraId="3DF8BA11" w14:textId="070B89F0" w:rsidR="001848E1" w:rsidRPr="0030052A" w:rsidRDefault="001848E1" w:rsidP="00075AF6">
      <w:pPr>
        <w:spacing w:after="0" w:line="276" w:lineRule="auto"/>
        <w:jc w:val="both"/>
        <w:rPr>
          <w:rFonts w:ascii="Times New Roman" w:hAnsi="Times New Roman" w:cs="Times New Roman"/>
          <w:lang w:val="en-GB"/>
        </w:rPr>
      </w:pPr>
      <w:r w:rsidRPr="0030052A">
        <w:rPr>
          <w:rFonts w:ascii="Times New Roman" w:hAnsi="Times New Roman" w:cs="Times New Roman"/>
          <w:b/>
          <w:bCs/>
          <w:lang w:val="en-GB"/>
        </w:rPr>
        <w:t>Abstract</w:t>
      </w:r>
    </w:p>
    <w:p w14:paraId="0A06E117" w14:textId="5173B363" w:rsidR="001848E1" w:rsidRPr="00075AF6" w:rsidRDefault="001848E1" w:rsidP="00075AF6">
      <w:pPr>
        <w:spacing w:after="0" w:line="240" w:lineRule="auto"/>
        <w:ind w:left="720" w:right="720"/>
        <w:jc w:val="both"/>
        <w:rPr>
          <w:rFonts w:ascii="Times New Roman" w:hAnsi="Times New Roman" w:cs="Times New Roman"/>
          <w:i/>
          <w:iCs/>
          <w:sz w:val="22"/>
          <w:szCs w:val="22"/>
          <w:lang w:val="en-GB"/>
        </w:rPr>
      </w:pPr>
      <w:r w:rsidRPr="00075AF6">
        <w:rPr>
          <w:rFonts w:ascii="Times New Roman" w:hAnsi="Times New Roman" w:cs="Times New Roman"/>
          <w:i/>
          <w:iCs/>
          <w:sz w:val="22"/>
          <w:szCs w:val="22"/>
          <w:lang w:val="en-GB"/>
        </w:rPr>
        <w:t xml:space="preserve">The legitimacy of arbitral proceedings increasingly depends not only on the application of law but also on the perceived neutrality and integrity of expert evidence. While expert witnesses are conventionally viewed as impartial providers of specialised knowledge to aid arbitral tribunals, the practical reality is more ambiguous. This paper interrogates the dual nature of expert witnesses as impartial aides or partisan tacticians within the structure of contemporary international arbitration. Drawing on comparative legal systems, institutional rules [including International Bar Association (IBA), United Nations Commission on International Trade Law (UNCITRAL), International Chamber of Commerce (ICC), London Court of International Arbitration (LCIA), International Centre for Settlement of Investment Disputes (ICSID)], and behavioural insights from legal psychology, it explores whether current frameworks adequately safeguard against bias, manipulation, and inequality of arms. It critiques the unregulated influence of shadow experts and the strategic overreliance on elite technical witnesses and evaluates emerging questions surrounding algorithmic and AI-generated evidence. The paper ultimately proposes </w:t>
      </w:r>
      <w:r w:rsidRPr="00075AF6">
        <w:rPr>
          <w:rFonts w:ascii="Times New Roman" w:hAnsi="Times New Roman" w:cs="Times New Roman"/>
          <w:i/>
          <w:iCs/>
          <w:sz w:val="22"/>
          <w:szCs w:val="22"/>
          <w:lang w:val="en-GB"/>
        </w:rPr>
        <w:lastRenderedPageBreak/>
        <w:t>reforms aimed at reinforcing the expert’s role as a neutral agent of justice, through hybrid tribunal-appointed models, regulatory harmonisation, and context-sensitive institutional standards.</w:t>
      </w:r>
    </w:p>
    <w:p w14:paraId="16DFD363" w14:textId="77777777" w:rsidR="00F46EB2" w:rsidRPr="00075AF6" w:rsidRDefault="00F46EB2" w:rsidP="00075AF6">
      <w:pPr>
        <w:spacing w:after="0" w:line="240" w:lineRule="auto"/>
        <w:ind w:left="720" w:right="720"/>
        <w:jc w:val="both"/>
        <w:rPr>
          <w:rFonts w:ascii="Times New Roman" w:hAnsi="Times New Roman" w:cs="Times New Roman"/>
          <w:i/>
          <w:iCs/>
          <w:sz w:val="22"/>
          <w:szCs w:val="22"/>
          <w:lang w:val="en-GB"/>
        </w:rPr>
      </w:pPr>
    </w:p>
    <w:p w14:paraId="2AE9FCE2" w14:textId="0A201BCB" w:rsidR="00F46EB2" w:rsidRPr="0030052A" w:rsidRDefault="00F46EB2" w:rsidP="00075AF6">
      <w:pPr>
        <w:spacing w:after="0" w:line="276" w:lineRule="auto"/>
        <w:jc w:val="both"/>
        <w:rPr>
          <w:rFonts w:ascii="Times New Roman" w:hAnsi="Times New Roman" w:cs="Times New Roman"/>
          <w:b/>
          <w:bCs/>
          <w:lang w:val="en-GB"/>
        </w:rPr>
      </w:pPr>
      <w:r w:rsidRPr="0030052A">
        <w:rPr>
          <w:rFonts w:ascii="Times New Roman" w:hAnsi="Times New Roman" w:cs="Times New Roman"/>
          <w:b/>
          <w:bCs/>
          <w:lang w:val="en-GB"/>
        </w:rPr>
        <w:t>Keywords</w:t>
      </w:r>
      <w:r w:rsidR="00075AF6">
        <w:rPr>
          <w:rFonts w:ascii="Times New Roman" w:hAnsi="Times New Roman" w:cs="Times New Roman"/>
          <w:b/>
          <w:bCs/>
          <w:lang w:val="en-GB"/>
        </w:rPr>
        <w:t>:</w:t>
      </w:r>
    </w:p>
    <w:p w14:paraId="6B67AB58" w14:textId="16ECAC36" w:rsidR="00F46EB2" w:rsidRPr="0030052A" w:rsidRDefault="00F46EB2" w:rsidP="00075AF6">
      <w:pPr>
        <w:spacing w:after="0" w:line="276" w:lineRule="auto"/>
        <w:jc w:val="both"/>
        <w:rPr>
          <w:rFonts w:ascii="Times New Roman" w:hAnsi="Times New Roman" w:cs="Times New Roman"/>
          <w:lang w:val="en-GB"/>
        </w:rPr>
      </w:pPr>
      <w:r w:rsidRPr="0030052A">
        <w:rPr>
          <w:rFonts w:ascii="Times New Roman" w:hAnsi="Times New Roman" w:cs="Times New Roman"/>
          <w:lang w:val="en-GB"/>
        </w:rPr>
        <w:t xml:space="preserve">Expert </w:t>
      </w:r>
      <w:commentRangeStart w:id="1"/>
      <w:r w:rsidRPr="0030052A">
        <w:rPr>
          <w:rFonts w:ascii="Times New Roman" w:hAnsi="Times New Roman" w:cs="Times New Roman"/>
          <w:lang w:val="en-GB"/>
        </w:rPr>
        <w:t>Witnesses in Arbi</w:t>
      </w:r>
      <w:r w:rsidR="00075AF6">
        <w:rPr>
          <w:rFonts w:ascii="Times New Roman" w:hAnsi="Times New Roman" w:cs="Times New Roman"/>
          <w:lang w:val="en-GB"/>
        </w:rPr>
        <w:t>tration</w:t>
      </w:r>
      <w:r w:rsidRPr="0030052A">
        <w:rPr>
          <w:rFonts w:ascii="Times New Roman" w:hAnsi="Times New Roman" w:cs="Times New Roman"/>
          <w:lang w:val="en-GB"/>
        </w:rPr>
        <w:t>, AI-Generated Expert Evidence, Ethics of Expert Witnesses, Procedural Integrity in Arbitration, Tribunal-Appointed vs Party-Appointed Experts, Digital Forensics and Arbitration,</w:t>
      </w:r>
      <w:commentRangeEnd w:id="1"/>
      <w:r w:rsidR="00032F2A" w:rsidRPr="0030052A">
        <w:rPr>
          <w:rStyle w:val="CommentReference"/>
          <w:rFonts w:ascii="Times New Roman" w:hAnsi="Times New Roman" w:cs="Times New Roman"/>
          <w:sz w:val="24"/>
          <w:szCs w:val="24"/>
          <w:lang w:val="en-GB"/>
        </w:rPr>
        <w:commentReference w:id="1"/>
      </w:r>
      <w:r w:rsidRPr="0030052A">
        <w:rPr>
          <w:rFonts w:ascii="Times New Roman" w:hAnsi="Times New Roman" w:cs="Times New Roman"/>
          <w:lang w:val="en-GB"/>
        </w:rPr>
        <w:t xml:space="preserve"> Arbitration Reform and Governance.</w:t>
      </w:r>
    </w:p>
    <w:p w14:paraId="44F5EAB3" w14:textId="77777777" w:rsidR="001848E1" w:rsidRPr="0030052A" w:rsidRDefault="001848E1" w:rsidP="00075AF6">
      <w:pPr>
        <w:spacing w:after="0" w:line="276" w:lineRule="auto"/>
        <w:jc w:val="both"/>
        <w:rPr>
          <w:rFonts w:ascii="Times New Roman" w:hAnsi="Times New Roman" w:cs="Times New Roman"/>
          <w:lang w:val="en-GB"/>
        </w:rPr>
      </w:pPr>
    </w:p>
    <w:p w14:paraId="18D4D1EE" w14:textId="77777777" w:rsidR="00F46EB2" w:rsidRPr="0030052A" w:rsidRDefault="00F46EB2" w:rsidP="00075AF6">
      <w:pPr>
        <w:spacing w:after="0" w:line="276" w:lineRule="auto"/>
        <w:jc w:val="both"/>
        <w:rPr>
          <w:rFonts w:ascii="Times New Roman" w:hAnsi="Times New Roman" w:cs="Times New Roman"/>
          <w:lang w:val="en-GB"/>
        </w:rPr>
      </w:pPr>
    </w:p>
    <w:p w14:paraId="35DEABE5" w14:textId="77777777" w:rsidR="00F46EB2" w:rsidRPr="0030052A" w:rsidRDefault="00F46EB2" w:rsidP="00075AF6">
      <w:pPr>
        <w:spacing w:after="0" w:line="276" w:lineRule="auto"/>
        <w:jc w:val="both"/>
        <w:rPr>
          <w:rFonts w:ascii="Times New Roman" w:hAnsi="Times New Roman" w:cs="Times New Roman"/>
          <w:lang w:val="en-GB"/>
        </w:rPr>
      </w:pPr>
    </w:p>
    <w:p w14:paraId="242755A2" w14:textId="4695EE10" w:rsidR="001848E1" w:rsidRPr="0030052A" w:rsidRDefault="001848E1" w:rsidP="00075AF6">
      <w:pPr>
        <w:spacing w:after="0" w:line="276" w:lineRule="auto"/>
        <w:jc w:val="both"/>
        <w:rPr>
          <w:rFonts w:ascii="Times New Roman" w:hAnsi="Times New Roman" w:cs="Times New Roman"/>
          <w:lang w:val="en-GB"/>
        </w:rPr>
      </w:pPr>
      <w:r w:rsidRPr="0030052A">
        <w:rPr>
          <w:rFonts w:ascii="Times New Roman" w:hAnsi="Times New Roman" w:cs="Times New Roman"/>
          <w:b/>
          <w:bCs/>
          <w:lang w:val="en-GB"/>
        </w:rPr>
        <w:t>1.0</w:t>
      </w:r>
      <w:r w:rsidRPr="0030052A">
        <w:rPr>
          <w:rFonts w:ascii="Times New Roman" w:hAnsi="Times New Roman" w:cs="Times New Roman"/>
          <w:b/>
          <w:bCs/>
          <w:lang w:val="en-GB"/>
        </w:rPr>
        <w:tab/>
      </w:r>
      <w:r w:rsidR="00A855E1" w:rsidRPr="0030052A">
        <w:rPr>
          <w:rFonts w:ascii="Times New Roman" w:hAnsi="Times New Roman" w:cs="Times New Roman"/>
          <w:b/>
          <w:bCs/>
          <w:lang w:val="en-GB"/>
        </w:rPr>
        <w:t>INTRODUCTION</w:t>
      </w:r>
    </w:p>
    <w:p w14:paraId="140CF70E"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Expert witnesses occupy a pivotal yet contested space in modern arbitration proceedings. Recruited to provide specialised technical or scientific knowledge that lies outside the scope of legal expertise, they have become indispensable in resolving complex commercial, construction, maritime, energy, and investor-state disputes. Their evidence is increasingly decisive from construction claims and intellectual property to investment arbitration and commercial fraud, contributing specialised knowledge that helps tribunals understand issues beyond the lay competence of arbitrators. However, a central dilemma persists, are these experts genuinely neutral or merely hired guns advocates cloaked in technical robes?</w:t>
      </w:r>
    </w:p>
    <w:p w14:paraId="506E8756" w14:textId="77777777" w:rsidR="001848E1" w:rsidRPr="0030052A" w:rsidRDefault="001848E1" w:rsidP="00075AF6">
      <w:pPr>
        <w:spacing w:after="0" w:line="276" w:lineRule="auto"/>
        <w:jc w:val="both"/>
        <w:rPr>
          <w:rFonts w:ascii="Times New Roman" w:hAnsi="Times New Roman" w:cs="Times New Roman"/>
        </w:rPr>
      </w:pPr>
    </w:p>
    <w:p w14:paraId="3B4AD15F" w14:textId="164202E3"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 xml:space="preserve">The value of expert input is frequently undermined by concerns of partisanship, undue influence, and strategic manipulation by parties who shop for favourable testimony. Indeed, the strategic use (and sometimes abuse) of expert witnesses raises serious concerns for procedural integrity. Tribunals often struggle to assess credibility when experts deliver opposed opinions based on the same set of facts, exposing a fundamental tension in arbitral proceedings, how can </w:t>
      </w:r>
      <w:r w:rsidRPr="0030052A">
        <w:rPr>
          <w:rFonts w:ascii="Times New Roman" w:hAnsi="Times New Roman" w:cs="Times New Roman"/>
        </w:rPr>
        <w:lastRenderedPageBreak/>
        <w:t>arbitration preserve its procedural integrity when the neutrality of experts is more presumed than real?</w:t>
      </w:r>
    </w:p>
    <w:p w14:paraId="404F0F44" w14:textId="77777777" w:rsidR="001848E1" w:rsidRPr="0030052A" w:rsidRDefault="001848E1" w:rsidP="00075AF6">
      <w:pPr>
        <w:spacing w:after="0" w:line="276" w:lineRule="auto"/>
        <w:jc w:val="both"/>
        <w:rPr>
          <w:rFonts w:ascii="Times New Roman" w:hAnsi="Times New Roman" w:cs="Times New Roman"/>
        </w:rPr>
      </w:pPr>
    </w:p>
    <w:p w14:paraId="340970CE"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This leads to critical questions: are expert witnesses advancing justice, or are they co-opted as loyal agents of the appointing party? What defines independence in expert testimony in arbitration? Which procedural and psychological factors erode or reinforce neutrality? How do legal cultures across jurisdictions shape and regulate this dynamic? This paper explores these dilemmas by tracing the fault lines between party autonomy, procedural integrity, and the ethics of evidence in arbitral practice. It engages with theoretical foundations, procedural architecture, regional comparisons, and strategic behaviour, culminating in a reformist outlook to reassess the evidentiary and institutional function of experts in arbitration.</w:t>
      </w:r>
    </w:p>
    <w:p w14:paraId="69396527" w14:textId="77777777" w:rsidR="001848E1" w:rsidRPr="0030052A" w:rsidRDefault="001848E1" w:rsidP="00075AF6">
      <w:pPr>
        <w:spacing w:after="0" w:line="276" w:lineRule="auto"/>
        <w:jc w:val="both"/>
        <w:rPr>
          <w:rFonts w:ascii="Times New Roman" w:hAnsi="Times New Roman" w:cs="Times New Roman"/>
        </w:rPr>
      </w:pPr>
    </w:p>
    <w:p w14:paraId="115504D9" w14:textId="0F06C6DC" w:rsidR="001848E1" w:rsidRPr="00E70376" w:rsidRDefault="001848E1" w:rsidP="00075AF6">
      <w:pPr>
        <w:spacing w:after="0" w:line="276" w:lineRule="auto"/>
        <w:jc w:val="both"/>
        <w:rPr>
          <w:rFonts w:ascii="Times New Roman" w:hAnsi="Times New Roman" w:cs="Times New Roman"/>
          <w:b/>
          <w:bCs/>
        </w:rPr>
      </w:pPr>
      <w:r w:rsidRPr="0030052A">
        <w:rPr>
          <w:rFonts w:ascii="Times New Roman" w:hAnsi="Times New Roman" w:cs="Times New Roman"/>
          <w:b/>
          <w:bCs/>
        </w:rPr>
        <w:t>2.0</w:t>
      </w:r>
      <w:r w:rsidRPr="0030052A">
        <w:rPr>
          <w:rFonts w:ascii="Times New Roman" w:hAnsi="Times New Roman" w:cs="Times New Roman"/>
          <w:b/>
          <w:bCs/>
        </w:rPr>
        <w:tab/>
      </w:r>
      <w:r w:rsidR="00A855E1" w:rsidRPr="0030052A">
        <w:rPr>
          <w:rFonts w:ascii="Times New Roman" w:hAnsi="Times New Roman" w:cs="Times New Roman"/>
          <w:b/>
          <w:bCs/>
        </w:rPr>
        <w:t>EXPERTISE, INDEPENDENCE</w:t>
      </w:r>
      <w:r w:rsidR="00A855E1">
        <w:rPr>
          <w:rFonts w:ascii="Times New Roman" w:hAnsi="Times New Roman" w:cs="Times New Roman"/>
          <w:b/>
          <w:bCs/>
        </w:rPr>
        <w:t>,</w:t>
      </w:r>
      <w:r w:rsidR="00A855E1" w:rsidRPr="0030052A">
        <w:rPr>
          <w:rFonts w:ascii="Times New Roman" w:hAnsi="Times New Roman" w:cs="Times New Roman"/>
          <w:b/>
          <w:bCs/>
        </w:rPr>
        <w:t xml:space="preserve"> AND ADVERSARIAL DYNAMICS</w:t>
      </w:r>
    </w:p>
    <w:p w14:paraId="05A7B574" w14:textId="46E1ED5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An expert witness in arbitration is someone with specialist knowledge, skill, or experience who gives opinion evidence on technical matters to assist the tribunal. Unlike factual witnesses, their role is interpretive rather than narrative. Article 5.2 of the IBA Rules 2020 mandates experts to be independent and impartial, but the enforceability of this ethos remains fragile. This invites a core jurisprudential tension, the dual loyalty paradigm</w:t>
      </w:r>
      <w:r w:rsidR="00A855E1">
        <w:rPr>
          <w:rFonts w:ascii="Times New Roman" w:hAnsi="Times New Roman" w:cs="Times New Roman"/>
        </w:rPr>
        <w:t>,</w:t>
      </w:r>
      <w:r w:rsidRPr="0030052A">
        <w:rPr>
          <w:rFonts w:ascii="Times New Roman" w:hAnsi="Times New Roman" w:cs="Times New Roman"/>
        </w:rPr>
        <w:t xml:space="preserve"> where party-appointed experts are subtly incentivised to align with the instructing party’s case theory, a phenomenon Shuman and Greenberg describe as adversarial allegiance.</w:t>
      </w:r>
      <w:r w:rsidRPr="0030052A">
        <w:rPr>
          <w:rStyle w:val="FootnoteReference"/>
          <w:rFonts w:ascii="Times New Roman" w:hAnsi="Times New Roman" w:cs="Times New Roman"/>
        </w:rPr>
        <w:footnoteReference w:id="4"/>
      </w:r>
    </w:p>
    <w:p w14:paraId="0DE8D499" w14:textId="77777777" w:rsidR="001848E1" w:rsidRPr="0030052A" w:rsidRDefault="001848E1" w:rsidP="00075AF6">
      <w:pPr>
        <w:spacing w:after="0" w:line="276" w:lineRule="auto"/>
        <w:jc w:val="both"/>
        <w:rPr>
          <w:rFonts w:ascii="Times New Roman" w:hAnsi="Times New Roman" w:cs="Times New Roman"/>
        </w:rPr>
      </w:pPr>
    </w:p>
    <w:p w14:paraId="3830A090"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lastRenderedPageBreak/>
        <w:t>The legal fiction of independence can mask calculated advocacy. Bourdieu’s field theory aptly characterises such experts as occupying a dual space, subordinate to both juridical and economic capital.</w:t>
      </w:r>
      <w:r w:rsidRPr="0030052A">
        <w:rPr>
          <w:rStyle w:val="FootnoteReference"/>
          <w:rFonts w:ascii="Times New Roman" w:hAnsi="Times New Roman" w:cs="Times New Roman"/>
        </w:rPr>
        <w:footnoteReference w:id="5"/>
      </w:r>
      <w:r w:rsidRPr="0030052A">
        <w:rPr>
          <w:rFonts w:ascii="Times New Roman" w:hAnsi="Times New Roman" w:cs="Times New Roman"/>
        </w:rPr>
        <w:t xml:space="preserve"> Theoretically, expert witnesses straddle two key functions, epistemic authority and advocacy reinforcement. In common law jurisdictions, the adversarial model legitimises party-appointed experts, with cross-examination serving as the truth-testing mechanism.</w:t>
      </w:r>
      <w:r w:rsidRPr="0030052A">
        <w:rPr>
          <w:rStyle w:val="FootnoteReference"/>
          <w:rFonts w:ascii="Times New Roman" w:hAnsi="Times New Roman" w:cs="Times New Roman"/>
        </w:rPr>
        <w:footnoteReference w:id="6"/>
      </w:r>
      <w:r w:rsidRPr="0030052A">
        <w:rPr>
          <w:rFonts w:ascii="Times New Roman" w:hAnsi="Times New Roman" w:cs="Times New Roman"/>
        </w:rPr>
        <w:t xml:space="preserve"> In contrast, civil law systems prioritise tribunal-appointed experts, grounded in the belief that technical knowledge should serve the court rather than adversarial interests.</w:t>
      </w:r>
      <w:r w:rsidRPr="0030052A">
        <w:rPr>
          <w:rStyle w:val="FootnoteReference"/>
          <w:rFonts w:ascii="Times New Roman" w:hAnsi="Times New Roman" w:cs="Times New Roman"/>
        </w:rPr>
        <w:footnoteReference w:id="7"/>
      </w:r>
    </w:p>
    <w:p w14:paraId="3C8C89E2" w14:textId="77777777" w:rsidR="001848E1" w:rsidRPr="0030052A" w:rsidRDefault="001848E1" w:rsidP="00075AF6">
      <w:pPr>
        <w:spacing w:after="0" w:line="276" w:lineRule="auto"/>
        <w:jc w:val="both"/>
        <w:rPr>
          <w:rFonts w:ascii="Times New Roman" w:hAnsi="Times New Roman" w:cs="Times New Roman"/>
        </w:rPr>
      </w:pPr>
    </w:p>
    <w:p w14:paraId="76926735"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From a behavioural and psychological standpoint, cognitive biases are endemic in expert testimony. Anchoring, confirmation bias, and the overconfidence effect documented phenomena in forensic psychology, skew the perception and delivery of expert analysis.</w:t>
      </w:r>
      <w:r w:rsidRPr="0030052A">
        <w:rPr>
          <w:rStyle w:val="FootnoteReference"/>
          <w:rFonts w:ascii="Times New Roman" w:hAnsi="Times New Roman" w:cs="Times New Roman"/>
        </w:rPr>
        <w:footnoteReference w:id="8"/>
      </w:r>
      <w:r w:rsidRPr="0030052A">
        <w:rPr>
          <w:rFonts w:ascii="Times New Roman" w:hAnsi="Times New Roman" w:cs="Times New Roman"/>
        </w:rPr>
        <w:t xml:space="preserve"> Experts may unconsciously select or interpret data that reinforces the narrative of the party that retained them. Daniel Kahneman’s “System 1” thinking explains how even seasoned professionals can default to intuitive shortcuts under adversarial pressure.</w:t>
      </w:r>
      <w:r w:rsidRPr="0030052A">
        <w:rPr>
          <w:rStyle w:val="FootnoteReference"/>
          <w:rFonts w:ascii="Times New Roman" w:hAnsi="Times New Roman" w:cs="Times New Roman"/>
        </w:rPr>
        <w:footnoteReference w:id="9"/>
      </w:r>
      <w:r w:rsidRPr="0030052A">
        <w:rPr>
          <w:rFonts w:ascii="Times New Roman" w:hAnsi="Times New Roman" w:cs="Times New Roman"/>
        </w:rPr>
        <w:t xml:space="preserve"> Loyalty bias further distorts </w:t>
      </w:r>
      <w:r w:rsidRPr="0030052A">
        <w:rPr>
          <w:rFonts w:ascii="Times New Roman" w:hAnsi="Times New Roman" w:cs="Times New Roman"/>
        </w:rPr>
        <w:lastRenderedPageBreak/>
        <w:t>neutrality, especially in high-stakes arbitration where reputational and financial incentives abound.</w:t>
      </w:r>
      <w:r w:rsidRPr="0030052A">
        <w:rPr>
          <w:rStyle w:val="FootnoteReference"/>
          <w:rFonts w:ascii="Times New Roman" w:hAnsi="Times New Roman" w:cs="Times New Roman"/>
        </w:rPr>
        <w:footnoteReference w:id="10"/>
      </w:r>
    </w:p>
    <w:p w14:paraId="698E60BA" w14:textId="77777777" w:rsidR="001848E1" w:rsidRPr="0030052A" w:rsidRDefault="001848E1" w:rsidP="00075AF6">
      <w:pPr>
        <w:spacing w:after="0" w:line="276" w:lineRule="auto"/>
        <w:jc w:val="both"/>
        <w:rPr>
          <w:rFonts w:ascii="Times New Roman" w:hAnsi="Times New Roman" w:cs="Times New Roman"/>
        </w:rPr>
      </w:pPr>
    </w:p>
    <w:p w14:paraId="16219ECF"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Despite the IBA Guidelines on Party Representation in International Arbitration 2013 warning against unethical influence over witnesses, the practical enforcement of such norms remains limited. Therefore, the notion of independence in expert testimony is often more aspirational than functional under prevailing adversarial norms.</w:t>
      </w:r>
    </w:p>
    <w:p w14:paraId="22D61982" w14:textId="77777777" w:rsidR="001848E1" w:rsidRPr="0030052A" w:rsidRDefault="001848E1" w:rsidP="00075AF6">
      <w:pPr>
        <w:spacing w:after="0" w:line="276" w:lineRule="auto"/>
        <w:jc w:val="both"/>
        <w:rPr>
          <w:rFonts w:ascii="Times New Roman" w:hAnsi="Times New Roman" w:cs="Times New Roman"/>
        </w:rPr>
      </w:pPr>
    </w:p>
    <w:p w14:paraId="4FB0D140" w14:textId="1207B1D4" w:rsidR="001848E1" w:rsidRPr="00E70376" w:rsidRDefault="001848E1" w:rsidP="00075AF6">
      <w:pPr>
        <w:spacing w:after="0" w:line="276" w:lineRule="auto"/>
        <w:jc w:val="both"/>
        <w:rPr>
          <w:rFonts w:ascii="Times New Roman" w:hAnsi="Times New Roman" w:cs="Times New Roman"/>
          <w:b/>
          <w:bCs/>
        </w:rPr>
      </w:pPr>
      <w:r w:rsidRPr="0030052A">
        <w:rPr>
          <w:rFonts w:ascii="Times New Roman" w:hAnsi="Times New Roman" w:cs="Times New Roman"/>
          <w:b/>
          <w:bCs/>
        </w:rPr>
        <w:t>3.0</w:t>
      </w:r>
      <w:r w:rsidRPr="0030052A">
        <w:rPr>
          <w:rFonts w:ascii="Times New Roman" w:hAnsi="Times New Roman" w:cs="Times New Roman"/>
          <w:b/>
          <w:bCs/>
        </w:rPr>
        <w:tab/>
      </w:r>
      <w:r w:rsidR="00A855E1" w:rsidRPr="0030052A">
        <w:rPr>
          <w:rFonts w:ascii="Times New Roman" w:hAnsi="Times New Roman" w:cs="Times New Roman"/>
          <w:b/>
          <w:bCs/>
        </w:rPr>
        <w:t>PROCEDURAL ARCHITECTURE OF EXPERT EVIDENCE IN ARBITRATION</w:t>
      </w:r>
    </w:p>
    <w:p w14:paraId="4D585EFD"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Institutional rules governing expert evidence vary across arbitral regimes. The IBA Rules 2020, UNCITRAL Notes</w:t>
      </w:r>
      <w:r w:rsidRPr="0030052A">
        <w:rPr>
          <w:rStyle w:val="FootnoteReference"/>
          <w:rFonts w:ascii="Times New Roman" w:hAnsi="Times New Roman" w:cs="Times New Roman"/>
        </w:rPr>
        <w:footnoteReference w:id="11"/>
      </w:r>
      <w:r w:rsidRPr="0030052A">
        <w:rPr>
          <w:rFonts w:ascii="Times New Roman" w:hAnsi="Times New Roman" w:cs="Times New Roman"/>
        </w:rPr>
        <w:t>, Article 25 of the ICC Rules 2021, Article 20 of the LCIA Rules 2020, and the ICSID Arbitration Rules 2022 all provide for flexible mechanisms concerning the presentation of expert evidence. Their common denominator is procedural discretion. Tribunals may accept party-appointed expert reports, order tribunal-appointed experts, or conduct expert conferencing.</w:t>
      </w:r>
    </w:p>
    <w:p w14:paraId="5240E879" w14:textId="77777777" w:rsidR="001848E1" w:rsidRPr="0030052A" w:rsidRDefault="001848E1" w:rsidP="00075AF6">
      <w:pPr>
        <w:spacing w:after="0" w:line="276" w:lineRule="auto"/>
        <w:jc w:val="both"/>
        <w:rPr>
          <w:rFonts w:ascii="Times New Roman" w:hAnsi="Times New Roman" w:cs="Times New Roman"/>
        </w:rPr>
      </w:pPr>
    </w:p>
    <w:p w14:paraId="1F235E9F"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 xml:space="preserve">Party-appointed experts dominate in common law jurisdictions, where they are treated as part of the legal team and subjected to adversarial scrutiny. In contrast, civil law systems prefer tribunal-appointed experts </w:t>
      </w:r>
      <w:r w:rsidRPr="0030052A">
        <w:rPr>
          <w:rFonts w:ascii="Times New Roman" w:hAnsi="Times New Roman" w:cs="Times New Roman"/>
        </w:rPr>
        <w:lastRenderedPageBreak/>
        <w:t>as extensions of the judicial fact-finding mission.</w:t>
      </w:r>
      <w:r w:rsidRPr="0030052A">
        <w:rPr>
          <w:rStyle w:val="FootnoteReference"/>
          <w:rFonts w:ascii="Times New Roman" w:hAnsi="Times New Roman" w:cs="Times New Roman"/>
        </w:rPr>
        <w:footnoteReference w:id="12"/>
      </w:r>
      <w:r w:rsidRPr="0030052A">
        <w:rPr>
          <w:rFonts w:ascii="Times New Roman" w:hAnsi="Times New Roman" w:cs="Times New Roman"/>
        </w:rPr>
        <w:t xml:space="preserve"> While tribunal-appointed experts are ostensibly neutral and may reduce partisan bias, their appointment raises concerns over the loss of narrative control and strategic leverage by parties. Studies show that tribunal-appointed experts reduce partisan influence but may also risk under-exploration of divergent views.</w:t>
      </w:r>
      <w:r w:rsidRPr="0030052A">
        <w:rPr>
          <w:rStyle w:val="FootnoteReference"/>
          <w:rFonts w:ascii="Times New Roman" w:hAnsi="Times New Roman" w:cs="Times New Roman"/>
        </w:rPr>
        <w:footnoteReference w:id="13"/>
      </w:r>
    </w:p>
    <w:p w14:paraId="2AF1CC7C" w14:textId="77777777" w:rsidR="001848E1" w:rsidRPr="0030052A" w:rsidRDefault="001848E1" w:rsidP="00075AF6">
      <w:pPr>
        <w:spacing w:after="0" w:line="276" w:lineRule="auto"/>
        <w:jc w:val="both"/>
        <w:rPr>
          <w:rFonts w:ascii="Times New Roman" w:hAnsi="Times New Roman" w:cs="Times New Roman"/>
        </w:rPr>
      </w:pPr>
    </w:p>
    <w:p w14:paraId="193E78E8"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Procedural innovations such as hot-tubbing or concurrent expert evidence have emerged to counteract adversarial bias. This method allows multiple experts to testify together, respond to each other’s views in real-time, and be questioned simultaneously by the tribunal and counsel. Originating in Australian courts, hot-tubbing is gaining traction in international arbitration for its efficiency and capacity to enhance clarity and expose inconsistencies. However, its success hinges on tribunal skill and cultural receptiveness to non-linear evidentiary exchange.</w:t>
      </w:r>
      <w:r w:rsidRPr="0030052A">
        <w:rPr>
          <w:rStyle w:val="FootnoteReference"/>
          <w:rFonts w:ascii="Times New Roman" w:hAnsi="Times New Roman" w:cs="Times New Roman"/>
        </w:rPr>
        <w:footnoteReference w:id="14"/>
      </w:r>
    </w:p>
    <w:p w14:paraId="0CB1172E" w14:textId="77777777" w:rsidR="001848E1" w:rsidRPr="0030052A" w:rsidRDefault="001848E1" w:rsidP="00075AF6">
      <w:pPr>
        <w:spacing w:after="0" w:line="276" w:lineRule="auto"/>
        <w:jc w:val="both"/>
        <w:rPr>
          <w:rFonts w:ascii="Times New Roman" w:hAnsi="Times New Roman" w:cs="Times New Roman"/>
        </w:rPr>
      </w:pPr>
    </w:p>
    <w:p w14:paraId="3675195F" w14:textId="0F556322" w:rsidR="001848E1" w:rsidRPr="00A855E1" w:rsidRDefault="001848E1" w:rsidP="00075AF6">
      <w:pPr>
        <w:spacing w:after="0" w:line="276" w:lineRule="auto"/>
        <w:jc w:val="both"/>
        <w:rPr>
          <w:rFonts w:ascii="Times New Roman" w:hAnsi="Times New Roman" w:cs="Times New Roman"/>
          <w:b/>
          <w:bCs/>
        </w:rPr>
      </w:pPr>
      <w:r w:rsidRPr="0030052A">
        <w:rPr>
          <w:rFonts w:ascii="Times New Roman" w:hAnsi="Times New Roman" w:cs="Times New Roman"/>
          <w:b/>
          <w:bCs/>
        </w:rPr>
        <w:t>4.0</w:t>
      </w:r>
      <w:r w:rsidRPr="0030052A">
        <w:rPr>
          <w:rFonts w:ascii="Times New Roman" w:hAnsi="Times New Roman" w:cs="Times New Roman"/>
          <w:b/>
          <w:bCs/>
        </w:rPr>
        <w:tab/>
      </w:r>
      <w:r w:rsidR="00A855E1" w:rsidRPr="0030052A">
        <w:rPr>
          <w:rFonts w:ascii="Times New Roman" w:hAnsi="Times New Roman" w:cs="Times New Roman"/>
          <w:b/>
          <w:bCs/>
        </w:rPr>
        <w:t>COMPARATIVE LEGAL AND REGIONAL PERSPECTIVE</w:t>
      </w:r>
      <w:r w:rsidR="00A855E1">
        <w:rPr>
          <w:rFonts w:ascii="Times New Roman" w:hAnsi="Times New Roman" w:cs="Times New Roman"/>
          <w:b/>
          <w:bCs/>
        </w:rPr>
        <w:t>S</w:t>
      </w:r>
    </w:p>
    <w:p w14:paraId="455B1E77"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 xml:space="preserve">The divergence in expert witness practice across jurisdictions underscores contrasting procedural philosophies. In common law systems like the UK and US, expert witnesses are adversarial instruments retained to support a party’s case and tested via cross-examination. Civil law systems, such as France and Germany, favour court or tribunal-appointed experts and often view party-appointed </w:t>
      </w:r>
      <w:r w:rsidRPr="0030052A">
        <w:rPr>
          <w:rFonts w:ascii="Times New Roman" w:hAnsi="Times New Roman" w:cs="Times New Roman"/>
        </w:rPr>
        <w:lastRenderedPageBreak/>
        <w:t>experts with suspicion.</w:t>
      </w:r>
      <w:r w:rsidRPr="0030052A">
        <w:rPr>
          <w:rStyle w:val="FootnoteReference"/>
          <w:rFonts w:ascii="Times New Roman" w:hAnsi="Times New Roman" w:cs="Times New Roman"/>
        </w:rPr>
        <w:footnoteReference w:id="15"/>
      </w:r>
      <w:r w:rsidRPr="0030052A">
        <w:rPr>
          <w:rFonts w:ascii="Times New Roman" w:hAnsi="Times New Roman" w:cs="Times New Roman"/>
        </w:rPr>
        <w:t xml:space="preserve"> In England and Wales, for example, CPR Part 35</w:t>
      </w:r>
      <w:r w:rsidRPr="0030052A">
        <w:rPr>
          <w:rStyle w:val="FootnoteReference"/>
          <w:rFonts w:ascii="Times New Roman" w:hAnsi="Times New Roman" w:cs="Times New Roman"/>
        </w:rPr>
        <w:footnoteReference w:id="16"/>
      </w:r>
      <w:r w:rsidRPr="0030052A">
        <w:rPr>
          <w:rFonts w:ascii="Times New Roman" w:hAnsi="Times New Roman" w:cs="Times New Roman"/>
        </w:rPr>
        <w:t xml:space="preserve"> regulates expert evidence in litigation, promoting the principle of independence over loyalty, which increasingly informs arbitral proceedings.</w:t>
      </w:r>
    </w:p>
    <w:p w14:paraId="53AC8F13" w14:textId="77777777" w:rsidR="001848E1" w:rsidRPr="0030052A" w:rsidRDefault="001848E1" w:rsidP="00075AF6">
      <w:pPr>
        <w:spacing w:after="0" w:line="276" w:lineRule="auto"/>
        <w:jc w:val="both"/>
        <w:rPr>
          <w:rFonts w:ascii="Times New Roman" w:hAnsi="Times New Roman" w:cs="Times New Roman"/>
        </w:rPr>
      </w:pPr>
    </w:p>
    <w:p w14:paraId="1DF9AF8F"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Nigeria’s Arbitration and Mediation Act (AMA) 2023 codifies expert evidence provisions, allowing both party- and tribunal-appointed experts.</w:t>
      </w:r>
      <w:r w:rsidRPr="0030052A">
        <w:rPr>
          <w:rStyle w:val="FootnoteReference"/>
          <w:rFonts w:ascii="Times New Roman" w:hAnsi="Times New Roman" w:cs="Times New Roman"/>
        </w:rPr>
        <w:footnoteReference w:id="17"/>
      </w:r>
      <w:r w:rsidRPr="0030052A">
        <w:rPr>
          <w:rFonts w:ascii="Times New Roman" w:hAnsi="Times New Roman" w:cs="Times New Roman"/>
        </w:rPr>
        <w:t xml:space="preserve"> While the Act empowers tribunals to exclude biased evidence and mandates independence declarations, practical enforcement remains aspirational without a broader cultural shift. The continued dominance of party-appointed experts, especially in high-stakes oil and gas arbitrations, suggests entrenched systemic bias. Moreover, arbitral institutions in Africa such as the Lagos Court of Arbitration (LCA)</w:t>
      </w:r>
      <w:r w:rsidRPr="0030052A">
        <w:rPr>
          <w:rStyle w:val="FootnoteReference"/>
          <w:rFonts w:ascii="Times New Roman" w:hAnsi="Times New Roman" w:cs="Times New Roman"/>
        </w:rPr>
        <w:footnoteReference w:id="18"/>
      </w:r>
      <w:r w:rsidRPr="0030052A">
        <w:rPr>
          <w:rFonts w:ascii="Times New Roman" w:hAnsi="Times New Roman" w:cs="Times New Roman"/>
        </w:rPr>
        <w:t xml:space="preserve"> and the Kigali International Arbitration Centre (KIAC)</w:t>
      </w:r>
      <w:r w:rsidRPr="0030052A">
        <w:rPr>
          <w:rStyle w:val="FootnoteReference"/>
          <w:rFonts w:ascii="Times New Roman" w:hAnsi="Times New Roman" w:cs="Times New Roman"/>
        </w:rPr>
        <w:footnoteReference w:id="19"/>
      </w:r>
      <w:r w:rsidRPr="0030052A">
        <w:rPr>
          <w:rFonts w:ascii="Times New Roman" w:hAnsi="Times New Roman" w:cs="Times New Roman"/>
        </w:rPr>
        <w:t xml:space="preserve"> have yet to adopt robust ethical frameworks governing expert evidence. The normalization of hot-tubbing and expert conferencing in African arbitration remains an important yet unrealised reform.</w:t>
      </w:r>
    </w:p>
    <w:p w14:paraId="0ED0CAC2" w14:textId="77777777" w:rsidR="001848E1" w:rsidRPr="0030052A" w:rsidRDefault="001848E1" w:rsidP="00075AF6">
      <w:pPr>
        <w:spacing w:after="0" w:line="276" w:lineRule="auto"/>
        <w:jc w:val="both"/>
        <w:rPr>
          <w:rFonts w:ascii="Times New Roman" w:hAnsi="Times New Roman" w:cs="Times New Roman"/>
        </w:rPr>
      </w:pPr>
    </w:p>
    <w:p w14:paraId="7AFF24BA"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 xml:space="preserve">Investor-State arbitration under ICSID presents a paradox. While the ICSID Arbitration Rules (Rule 38) support tribunal-appointed experts, both states and investors continue to favour partisan expert reports. High-profile cases such as </w:t>
      </w:r>
      <w:r w:rsidRPr="0030052A">
        <w:rPr>
          <w:rFonts w:ascii="Times New Roman" w:hAnsi="Times New Roman" w:cs="Times New Roman"/>
          <w:i/>
          <w:iCs/>
        </w:rPr>
        <w:t>Perenco v. Ecuador</w:t>
      </w:r>
      <w:r w:rsidRPr="0030052A">
        <w:rPr>
          <w:rStyle w:val="FootnoteReference"/>
          <w:rFonts w:ascii="Times New Roman" w:hAnsi="Times New Roman" w:cs="Times New Roman"/>
        </w:rPr>
        <w:footnoteReference w:id="20"/>
      </w:r>
      <w:r w:rsidRPr="0030052A">
        <w:rPr>
          <w:rFonts w:ascii="Times New Roman" w:hAnsi="Times New Roman" w:cs="Times New Roman"/>
        </w:rPr>
        <w:t xml:space="preserve"> and </w:t>
      </w:r>
      <w:r w:rsidRPr="0030052A">
        <w:rPr>
          <w:rFonts w:ascii="Times New Roman" w:hAnsi="Times New Roman" w:cs="Times New Roman"/>
          <w:i/>
          <w:iCs/>
        </w:rPr>
        <w:t xml:space="preserve">Tethyan v. </w:t>
      </w:r>
      <w:r w:rsidRPr="0030052A">
        <w:rPr>
          <w:rFonts w:ascii="Times New Roman" w:hAnsi="Times New Roman" w:cs="Times New Roman"/>
          <w:i/>
          <w:iCs/>
        </w:rPr>
        <w:lastRenderedPageBreak/>
        <w:t>Pakistan</w:t>
      </w:r>
      <w:r w:rsidRPr="0030052A">
        <w:rPr>
          <w:rStyle w:val="FootnoteReference"/>
          <w:rFonts w:ascii="Times New Roman" w:hAnsi="Times New Roman" w:cs="Times New Roman"/>
        </w:rPr>
        <w:footnoteReference w:id="21"/>
      </w:r>
      <w:r w:rsidRPr="0030052A">
        <w:rPr>
          <w:rFonts w:ascii="Times New Roman" w:hAnsi="Times New Roman" w:cs="Times New Roman"/>
        </w:rPr>
        <w:t xml:space="preserve"> illustrate how opposing experts can present radically different valuation methodologies, reframing alleged losses by orders of magnitude.</w:t>
      </w:r>
    </w:p>
    <w:p w14:paraId="2930F2E0" w14:textId="77777777" w:rsidR="001848E1" w:rsidRPr="0030052A" w:rsidRDefault="001848E1" w:rsidP="00075AF6">
      <w:pPr>
        <w:spacing w:after="0" w:line="276" w:lineRule="auto"/>
        <w:jc w:val="both"/>
        <w:rPr>
          <w:rFonts w:ascii="Times New Roman" w:hAnsi="Times New Roman" w:cs="Times New Roman"/>
        </w:rPr>
      </w:pPr>
    </w:p>
    <w:p w14:paraId="55E2463A"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In Asia, the Singapore International Arbitration Centre (SIAC)</w:t>
      </w:r>
      <w:r w:rsidRPr="0030052A">
        <w:rPr>
          <w:rStyle w:val="FootnoteReference"/>
          <w:rFonts w:ascii="Times New Roman" w:hAnsi="Times New Roman" w:cs="Times New Roman"/>
        </w:rPr>
        <w:footnoteReference w:id="22"/>
      </w:r>
      <w:r w:rsidRPr="0030052A">
        <w:rPr>
          <w:rFonts w:ascii="Times New Roman" w:hAnsi="Times New Roman" w:cs="Times New Roman"/>
        </w:rPr>
        <w:t xml:space="preserve"> and Hong Kong International Arbitration Centre (HKIAC)</w:t>
      </w:r>
      <w:r w:rsidRPr="0030052A">
        <w:rPr>
          <w:rStyle w:val="FootnoteReference"/>
          <w:rFonts w:ascii="Times New Roman" w:hAnsi="Times New Roman" w:cs="Times New Roman"/>
        </w:rPr>
        <w:footnoteReference w:id="23"/>
      </w:r>
      <w:r w:rsidRPr="0030052A">
        <w:rPr>
          <w:rFonts w:ascii="Times New Roman" w:hAnsi="Times New Roman" w:cs="Times New Roman"/>
        </w:rPr>
        <w:t xml:space="preserve"> promote hybrid models, including tribunal-directed expert conferencing and joint expert reports. In Latin America, jurisdictions like Colombia (via Decree 1074/2015) have moved toward global best practices, although expert commodification remains high in construction disputes.</w:t>
      </w:r>
      <w:r w:rsidRPr="0030052A">
        <w:rPr>
          <w:rStyle w:val="FootnoteReference"/>
          <w:rFonts w:ascii="Times New Roman" w:hAnsi="Times New Roman" w:cs="Times New Roman"/>
        </w:rPr>
        <w:footnoteReference w:id="24"/>
      </w:r>
      <w:r w:rsidRPr="0030052A">
        <w:rPr>
          <w:rFonts w:ascii="Times New Roman" w:hAnsi="Times New Roman" w:cs="Times New Roman"/>
        </w:rPr>
        <w:t xml:space="preserve"> While countries like Brazil still rely on court-appointed experts in domestic litigation, commercial arbitration in the region increasingly mirrors international norms.</w:t>
      </w:r>
      <w:r w:rsidRPr="0030052A">
        <w:rPr>
          <w:rStyle w:val="FootnoteReference"/>
          <w:rFonts w:ascii="Times New Roman" w:hAnsi="Times New Roman" w:cs="Times New Roman"/>
        </w:rPr>
        <w:footnoteReference w:id="25"/>
      </w:r>
    </w:p>
    <w:p w14:paraId="64AD0A84" w14:textId="77777777" w:rsidR="001848E1" w:rsidRPr="0030052A" w:rsidRDefault="001848E1" w:rsidP="00075AF6">
      <w:pPr>
        <w:spacing w:after="0" w:line="276" w:lineRule="auto"/>
        <w:jc w:val="both"/>
        <w:rPr>
          <w:rFonts w:ascii="Times New Roman" w:hAnsi="Times New Roman" w:cs="Times New Roman"/>
        </w:rPr>
      </w:pPr>
    </w:p>
    <w:p w14:paraId="12E23520" w14:textId="60B3F664" w:rsidR="001848E1" w:rsidRPr="00A855E1" w:rsidRDefault="001848E1" w:rsidP="00075AF6">
      <w:pPr>
        <w:spacing w:after="0" w:line="276" w:lineRule="auto"/>
        <w:jc w:val="both"/>
        <w:rPr>
          <w:rFonts w:ascii="Times New Roman" w:hAnsi="Times New Roman" w:cs="Times New Roman"/>
          <w:b/>
          <w:bCs/>
        </w:rPr>
      </w:pPr>
      <w:r w:rsidRPr="0030052A">
        <w:rPr>
          <w:rFonts w:ascii="Times New Roman" w:hAnsi="Times New Roman" w:cs="Times New Roman"/>
          <w:b/>
          <w:bCs/>
        </w:rPr>
        <w:t>5.0</w:t>
      </w:r>
      <w:r w:rsidRPr="0030052A">
        <w:rPr>
          <w:rFonts w:ascii="Times New Roman" w:hAnsi="Times New Roman" w:cs="Times New Roman"/>
          <w:b/>
          <w:bCs/>
        </w:rPr>
        <w:tab/>
      </w:r>
      <w:r w:rsidR="004417FE" w:rsidRPr="0030052A">
        <w:rPr>
          <w:rFonts w:ascii="Times New Roman" w:hAnsi="Times New Roman" w:cs="Times New Roman"/>
          <w:b/>
          <w:bCs/>
        </w:rPr>
        <w:t>STRATEGIC DEPLOYMENT OR MANIPULATION</w:t>
      </w:r>
      <w:r w:rsidRPr="0030052A">
        <w:rPr>
          <w:rFonts w:ascii="Times New Roman" w:hAnsi="Times New Roman" w:cs="Times New Roman"/>
          <w:b/>
          <w:bCs/>
        </w:rPr>
        <w:t>?</w:t>
      </w:r>
    </w:p>
    <w:p w14:paraId="0B1CBFCE" w14:textId="78D12450"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The strategic deployment and</w:t>
      </w:r>
      <w:r w:rsidR="00E70376">
        <w:rPr>
          <w:rFonts w:ascii="Times New Roman" w:hAnsi="Times New Roman" w:cs="Times New Roman"/>
        </w:rPr>
        <w:t>,</w:t>
      </w:r>
      <w:r w:rsidRPr="0030052A">
        <w:rPr>
          <w:rFonts w:ascii="Times New Roman" w:hAnsi="Times New Roman" w:cs="Times New Roman"/>
        </w:rPr>
        <w:t xml:space="preserve"> at times</w:t>
      </w:r>
      <w:r w:rsidR="00E70376">
        <w:rPr>
          <w:rFonts w:ascii="Times New Roman" w:hAnsi="Times New Roman" w:cs="Times New Roman"/>
        </w:rPr>
        <w:t>,</w:t>
      </w:r>
      <w:r w:rsidRPr="0030052A">
        <w:rPr>
          <w:rFonts w:ascii="Times New Roman" w:hAnsi="Times New Roman" w:cs="Times New Roman"/>
        </w:rPr>
        <w:t xml:space="preserve"> manipulation of expert evidence has become increasingly sophisticated. Empirical studies highlight the growing use of shadow experts, non-testifying consultants who influence case theory, pleadings, and expert reports behind the scenes.</w:t>
      </w:r>
      <w:r w:rsidRPr="0030052A">
        <w:rPr>
          <w:rStyle w:val="FootnoteReference"/>
          <w:rFonts w:ascii="Times New Roman" w:hAnsi="Times New Roman" w:cs="Times New Roman"/>
        </w:rPr>
        <w:footnoteReference w:id="26"/>
      </w:r>
      <w:r w:rsidRPr="0030052A">
        <w:rPr>
          <w:rFonts w:ascii="Times New Roman" w:hAnsi="Times New Roman" w:cs="Times New Roman"/>
        </w:rPr>
        <w:t xml:space="preserve"> While not inherently unethical, this practice raises transparency </w:t>
      </w:r>
      <w:r w:rsidRPr="0030052A">
        <w:rPr>
          <w:rFonts w:ascii="Times New Roman" w:hAnsi="Times New Roman" w:cs="Times New Roman"/>
        </w:rPr>
        <w:lastRenderedPageBreak/>
        <w:t>concerns and blurs the lines between technical analysis and legal strategy. In investment arbitration, the dominance of elite experts in repeat appointments has created a knowledge oligopoly, disproportionately disadvantaging developing-state respondents.</w:t>
      </w:r>
      <w:r w:rsidRPr="0030052A">
        <w:rPr>
          <w:rStyle w:val="FootnoteReference"/>
          <w:rFonts w:ascii="Times New Roman" w:hAnsi="Times New Roman" w:cs="Times New Roman"/>
        </w:rPr>
        <w:footnoteReference w:id="27"/>
      </w:r>
    </w:p>
    <w:p w14:paraId="68F6F7A2" w14:textId="77777777" w:rsidR="001848E1" w:rsidRPr="0030052A" w:rsidRDefault="001848E1" w:rsidP="00075AF6">
      <w:pPr>
        <w:spacing w:after="0" w:line="276" w:lineRule="auto"/>
        <w:jc w:val="both"/>
        <w:rPr>
          <w:rFonts w:ascii="Times New Roman" w:hAnsi="Times New Roman" w:cs="Times New Roman"/>
        </w:rPr>
      </w:pPr>
    </w:p>
    <w:p w14:paraId="6586EBB9" w14:textId="4C7B4784"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Cross-examination, while valorised as a truth-testing tool, often degenerates into rhetorical theatre. Arbitrators, especially those lacking technical backgrounds, frequently struggle to adjudicate between conflicting expert views in battle of the expert scenarios. Heuristics such as fluency, confidence, and credentials may override rigorous engagement with methodological validity. The absence of robust admissibility standards</w:t>
      </w:r>
      <w:r w:rsidR="004417FE">
        <w:rPr>
          <w:rFonts w:ascii="Times New Roman" w:hAnsi="Times New Roman" w:cs="Times New Roman"/>
        </w:rPr>
        <w:t>,</w:t>
      </w:r>
      <w:r w:rsidRPr="0030052A">
        <w:rPr>
          <w:rFonts w:ascii="Times New Roman" w:hAnsi="Times New Roman" w:cs="Times New Roman"/>
        </w:rPr>
        <w:t xml:space="preserve"> such as the Daubert standard in US litigation, permits questionable scientific evidence to evade scrutiny.</w:t>
      </w:r>
      <w:r w:rsidRPr="0030052A">
        <w:rPr>
          <w:rStyle w:val="FootnoteReference"/>
          <w:rFonts w:ascii="Times New Roman" w:hAnsi="Times New Roman" w:cs="Times New Roman"/>
        </w:rPr>
        <w:footnoteReference w:id="28"/>
      </w:r>
    </w:p>
    <w:p w14:paraId="040E0B4D" w14:textId="77777777" w:rsidR="001848E1" w:rsidRPr="0030052A" w:rsidRDefault="001848E1" w:rsidP="00075AF6">
      <w:pPr>
        <w:spacing w:after="0" w:line="276" w:lineRule="auto"/>
        <w:jc w:val="both"/>
        <w:rPr>
          <w:rFonts w:ascii="Times New Roman" w:hAnsi="Times New Roman" w:cs="Times New Roman"/>
        </w:rPr>
      </w:pPr>
    </w:p>
    <w:p w14:paraId="29D43C73"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 xml:space="preserve">Notable cases underscore the dangers of excessive or biased expert deployment. In </w:t>
      </w:r>
      <w:r w:rsidRPr="0030052A">
        <w:rPr>
          <w:rFonts w:ascii="Times New Roman" w:hAnsi="Times New Roman" w:cs="Times New Roman"/>
          <w:i/>
          <w:iCs/>
        </w:rPr>
        <w:t>SD Myers v. Canada</w:t>
      </w:r>
      <w:r w:rsidRPr="0030052A">
        <w:rPr>
          <w:rStyle w:val="FootnoteReference"/>
          <w:rFonts w:ascii="Times New Roman" w:hAnsi="Times New Roman" w:cs="Times New Roman"/>
        </w:rPr>
        <w:footnoteReference w:id="29"/>
      </w:r>
      <w:r w:rsidRPr="0030052A">
        <w:rPr>
          <w:rFonts w:ascii="Times New Roman" w:hAnsi="Times New Roman" w:cs="Times New Roman"/>
        </w:rPr>
        <w:t xml:space="preserve">, the tribunal criticised both parties’ environmental experts as “unduly partial.” Likewise, in </w:t>
      </w:r>
      <w:r w:rsidRPr="0030052A">
        <w:rPr>
          <w:rFonts w:ascii="Times New Roman" w:hAnsi="Times New Roman" w:cs="Times New Roman"/>
          <w:i/>
          <w:iCs/>
        </w:rPr>
        <w:t>Caratube v. Kazakhstan</w:t>
      </w:r>
      <w:r w:rsidRPr="0030052A">
        <w:rPr>
          <w:rStyle w:val="FootnoteReference"/>
          <w:rFonts w:ascii="Times New Roman" w:hAnsi="Times New Roman" w:cs="Times New Roman"/>
        </w:rPr>
        <w:footnoteReference w:id="30"/>
      </w:r>
      <w:r w:rsidRPr="0030052A">
        <w:rPr>
          <w:rFonts w:ascii="Times New Roman" w:hAnsi="Times New Roman" w:cs="Times New Roman"/>
        </w:rPr>
        <w:t>, the damages expert’s valuation was dismissed as “so speculative as to be unhelpful.” These examples highlight how overreliance on partisan experts can erode tribunal credibility, inflate costs, and prolong proceedings.</w:t>
      </w:r>
    </w:p>
    <w:p w14:paraId="4E1FD973" w14:textId="77777777" w:rsidR="001848E1" w:rsidRPr="0030052A" w:rsidRDefault="001848E1" w:rsidP="00075AF6">
      <w:pPr>
        <w:spacing w:after="0" w:line="276" w:lineRule="auto"/>
        <w:jc w:val="both"/>
        <w:rPr>
          <w:rFonts w:ascii="Times New Roman" w:hAnsi="Times New Roman" w:cs="Times New Roman"/>
        </w:rPr>
      </w:pPr>
    </w:p>
    <w:p w14:paraId="36E5EA2B"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 xml:space="preserve">Moreover, strategic witness coaching, while ethically ambiguous, can distort the epistemic integrity of arbitration. The widespread but opaque </w:t>
      </w:r>
      <w:r w:rsidRPr="0030052A">
        <w:rPr>
          <w:rFonts w:ascii="Times New Roman" w:hAnsi="Times New Roman" w:cs="Times New Roman"/>
        </w:rPr>
        <w:lastRenderedPageBreak/>
        <w:t>use of shadow experts complicates the transparency and reliability of expert evidence. As expert testimony becomes more entangled with legal strategy, the line between neutral fact-finding and persuasive advocacy continues to blur, posing enduring challenges to the legitimacy of arbitral decision-making.</w:t>
      </w:r>
    </w:p>
    <w:p w14:paraId="2D5541D9" w14:textId="77777777" w:rsidR="001848E1" w:rsidRPr="0030052A" w:rsidRDefault="001848E1" w:rsidP="00075AF6">
      <w:pPr>
        <w:spacing w:after="0" w:line="276" w:lineRule="auto"/>
        <w:jc w:val="both"/>
        <w:rPr>
          <w:rFonts w:ascii="Times New Roman" w:hAnsi="Times New Roman" w:cs="Times New Roman"/>
        </w:rPr>
      </w:pPr>
    </w:p>
    <w:p w14:paraId="3C665F78" w14:textId="55E17BBE" w:rsidR="001848E1" w:rsidRPr="004417FE" w:rsidRDefault="001848E1" w:rsidP="00075AF6">
      <w:pPr>
        <w:spacing w:after="0" w:line="276" w:lineRule="auto"/>
        <w:jc w:val="both"/>
        <w:rPr>
          <w:rFonts w:ascii="Times New Roman" w:hAnsi="Times New Roman" w:cs="Times New Roman"/>
          <w:b/>
          <w:bCs/>
        </w:rPr>
      </w:pPr>
      <w:r w:rsidRPr="0030052A">
        <w:rPr>
          <w:rFonts w:ascii="Times New Roman" w:hAnsi="Times New Roman" w:cs="Times New Roman"/>
          <w:b/>
          <w:bCs/>
        </w:rPr>
        <w:t>6.0</w:t>
      </w:r>
      <w:r w:rsidRPr="0030052A">
        <w:rPr>
          <w:rFonts w:ascii="Times New Roman" w:hAnsi="Times New Roman" w:cs="Times New Roman"/>
          <w:b/>
          <w:bCs/>
        </w:rPr>
        <w:tab/>
      </w:r>
      <w:r w:rsidR="004417FE" w:rsidRPr="0030052A">
        <w:rPr>
          <w:rFonts w:ascii="Times New Roman" w:hAnsi="Times New Roman" w:cs="Times New Roman"/>
          <w:b/>
          <w:bCs/>
        </w:rPr>
        <w:t>ETHICAL AND REGULATORY GAP</w:t>
      </w:r>
    </w:p>
    <w:p w14:paraId="3E695F7A"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The absence of a universal code of conduct for expert witnesses in arbitration constitutes a critical regulatory gap. While the IBA Rules 2020 and the IBA Guidelines on Party Representation 2013 recommend disclosure obligations and emphasize impartiality and transparency, these instruments remain non-binding soft law. Consequently, there is no global accreditation, enforcement, or disciplinary framework specifically tailored to arbitral expert witnesses, unlike the established systems governing arbitrators. This fragmentation presents significant challenges to procedural fairness and undermines the credibility of expert testimony across jurisdictions.</w:t>
      </w:r>
    </w:p>
    <w:p w14:paraId="6B809FD6" w14:textId="77777777" w:rsidR="001848E1" w:rsidRPr="0030052A" w:rsidRDefault="001848E1" w:rsidP="00075AF6">
      <w:pPr>
        <w:spacing w:after="0" w:line="276" w:lineRule="auto"/>
        <w:jc w:val="both"/>
        <w:rPr>
          <w:rFonts w:ascii="Times New Roman" w:hAnsi="Times New Roman" w:cs="Times New Roman"/>
        </w:rPr>
      </w:pPr>
    </w:p>
    <w:p w14:paraId="4080D0C0"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Unlike arbitrators, expert witnesses in arbitration cannot generally be challenged or sanctioned for bias or misconduct, even where partisanship is evident. This creates an ethical vacuum, particularly in transnational disputes where parties engage in expert shopping with little scrutiny. While certain jurisdictions such as the United Kingdom impose a clear duty to the tribunal,</w:t>
      </w:r>
      <w:r w:rsidRPr="0030052A">
        <w:rPr>
          <w:rStyle w:val="FootnoteReference"/>
          <w:rFonts w:ascii="Times New Roman" w:hAnsi="Times New Roman" w:cs="Times New Roman"/>
        </w:rPr>
        <w:footnoteReference w:id="31"/>
      </w:r>
      <w:r w:rsidRPr="0030052A">
        <w:rPr>
          <w:rFonts w:ascii="Times New Roman" w:hAnsi="Times New Roman" w:cs="Times New Roman"/>
        </w:rPr>
        <w:t xml:space="preserve"> others permit experts to function as de facto advocates, exacerbating disparities in ethical expectations. The conceptual tension remains unresolved: should an expert owe fiduciary duty to the tribunal as a neutral aide to justice, or to the appointing party as a paid consultant?</w:t>
      </w:r>
    </w:p>
    <w:p w14:paraId="28D520E8" w14:textId="77777777" w:rsidR="001848E1" w:rsidRPr="0030052A" w:rsidRDefault="001848E1" w:rsidP="00075AF6">
      <w:pPr>
        <w:spacing w:after="0" w:line="276" w:lineRule="auto"/>
        <w:jc w:val="both"/>
        <w:rPr>
          <w:rFonts w:ascii="Times New Roman" w:hAnsi="Times New Roman" w:cs="Times New Roman"/>
        </w:rPr>
      </w:pPr>
    </w:p>
    <w:p w14:paraId="135C1EE1"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lastRenderedPageBreak/>
        <w:t>The arbitration process, straddling adversarial and inquisitorial traditions compounds this tension. If the goal is truth-finding, as articulated in the UN Basic Principles on the Role of Experts in Justice Systems, then allegiance must shift toward the tribunal. However, the economic realities of arbitration reward client loyalty and repeat appointments, perpetuating incentives for strategic alignment rather than neutrality.</w:t>
      </w:r>
    </w:p>
    <w:p w14:paraId="501952DD" w14:textId="77777777" w:rsidR="001848E1" w:rsidRPr="0030052A" w:rsidRDefault="001848E1" w:rsidP="00075AF6">
      <w:pPr>
        <w:spacing w:after="0" w:line="276" w:lineRule="auto"/>
        <w:jc w:val="both"/>
        <w:rPr>
          <w:rFonts w:ascii="Times New Roman" w:hAnsi="Times New Roman" w:cs="Times New Roman"/>
        </w:rPr>
      </w:pPr>
    </w:p>
    <w:p w14:paraId="768CB9CE"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 xml:space="preserve">Australian jurisprudence offers a progressive model. In </w:t>
      </w:r>
      <w:r w:rsidRPr="0030052A">
        <w:rPr>
          <w:rFonts w:ascii="Times New Roman" w:hAnsi="Times New Roman" w:cs="Times New Roman"/>
          <w:i/>
          <w:iCs/>
        </w:rPr>
        <w:t>Dasreef v. Hawchar</w:t>
      </w:r>
      <w:r w:rsidRPr="0030052A">
        <w:rPr>
          <w:rStyle w:val="FootnoteReference"/>
          <w:rFonts w:ascii="Times New Roman" w:hAnsi="Times New Roman" w:cs="Times New Roman"/>
        </w:rPr>
        <w:footnoteReference w:id="32"/>
      </w:r>
      <w:r w:rsidRPr="0030052A">
        <w:rPr>
          <w:rFonts w:ascii="Times New Roman" w:hAnsi="Times New Roman" w:cs="Times New Roman"/>
        </w:rPr>
        <w:t>, the High Court underscored the primacy of an expert’s duty to assist the decision-maker objectively, rather than act as a partisan advocate. Yet such judicial reinforcement remains rare in the international arbitration arena, where cross-border enforcement of ethical norms lacks the support of national disciplinary institutions.</w:t>
      </w:r>
    </w:p>
    <w:p w14:paraId="0FC105A8" w14:textId="77777777" w:rsidR="001848E1" w:rsidRPr="0030052A" w:rsidRDefault="001848E1" w:rsidP="00075AF6">
      <w:pPr>
        <w:spacing w:after="0" w:line="276" w:lineRule="auto"/>
        <w:jc w:val="both"/>
        <w:rPr>
          <w:rFonts w:ascii="Times New Roman" w:hAnsi="Times New Roman" w:cs="Times New Roman"/>
        </w:rPr>
      </w:pPr>
    </w:p>
    <w:p w14:paraId="7B02AE35"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In response to these gaps, scholars such as Rogers and Weeramantry have advocated for a model Expert Witness Code of Ethics that would introduce mandatory certification of expertise, a duty to the tribunal over the client, compulsory disclosure of prior retentions and affiliations, and enforceable sanctions for misconduct.</w:t>
      </w:r>
      <w:r w:rsidRPr="0030052A">
        <w:rPr>
          <w:rStyle w:val="FootnoteReference"/>
          <w:rFonts w:ascii="Times New Roman" w:hAnsi="Times New Roman" w:cs="Times New Roman"/>
        </w:rPr>
        <w:footnoteReference w:id="33"/>
      </w:r>
      <w:r w:rsidRPr="0030052A">
        <w:rPr>
          <w:rFonts w:ascii="Times New Roman" w:hAnsi="Times New Roman" w:cs="Times New Roman"/>
        </w:rPr>
        <w:t xml:space="preserve"> These standards could be operationalised through institutional rosters, peer-reviewed training schemes, or independent ethics boards embedded within arbitral centres.</w:t>
      </w:r>
    </w:p>
    <w:p w14:paraId="30E21F97" w14:textId="77777777" w:rsidR="001848E1" w:rsidRPr="0030052A" w:rsidRDefault="001848E1" w:rsidP="00075AF6">
      <w:pPr>
        <w:spacing w:after="0" w:line="276" w:lineRule="auto"/>
        <w:jc w:val="both"/>
        <w:rPr>
          <w:rFonts w:ascii="Times New Roman" w:hAnsi="Times New Roman" w:cs="Times New Roman"/>
        </w:rPr>
      </w:pPr>
    </w:p>
    <w:p w14:paraId="6DE2B2E7"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Although professional bodies such as the UK’s Expert Witness Institute (EWI)</w:t>
      </w:r>
      <w:r w:rsidRPr="0030052A">
        <w:rPr>
          <w:rStyle w:val="FootnoteReference"/>
          <w:rFonts w:ascii="Times New Roman" w:hAnsi="Times New Roman" w:cs="Times New Roman"/>
        </w:rPr>
        <w:footnoteReference w:id="34"/>
      </w:r>
      <w:r w:rsidRPr="0030052A">
        <w:rPr>
          <w:rFonts w:ascii="Times New Roman" w:hAnsi="Times New Roman" w:cs="Times New Roman"/>
        </w:rPr>
        <w:t xml:space="preserve"> and the Academy of Experts (TAE)</w:t>
      </w:r>
      <w:r w:rsidRPr="0030052A">
        <w:rPr>
          <w:rStyle w:val="FootnoteReference"/>
          <w:rFonts w:ascii="Times New Roman" w:hAnsi="Times New Roman" w:cs="Times New Roman"/>
        </w:rPr>
        <w:footnoteReference w:id="35"/>
      </w:r>
      <w:r w:rsidRPr="0030052A">
        <w:rPr>
          <w:rFonts w:ascii="Times New Roman" w:hAnsi="Times New Roman" w:cs="Times New Roman"/>
        </w:rPr>
        <w:t xml:space="preserve"> promote codes of conduct and encourage peer review, these frameworks remain jurisdictionally </w:t>
      </w:r>
      <w:r w:rsidRPr="0030052A">
        <w:rPr>
          <w:rFonts w:ascii="Times New Roman" w:hAnsi="Times New Roman" w:cs="Times New Roman"/>
        </w:rPr>
        <w:lastRenderedPageBreak/>
        <w:t>confined and lack global coordination. A harmonised international approach, possibly under the auspices of UNCITRAL, World Intellectual Property Organization (WIPO)</w:t>
      </w:r>
      <w:r w:rsidRPr="0030052A">
        <w:rPr>
          <w:rStyle w:val="FootnoteReference"/>
          <w:rFonts w:ascii="Times New Roman" w:hAnsi="Times New Roman" w:cs="Times New Roman"/>
        </w:rPr>
        <w:footnoteReference w:id="36"/>
      </w:r>
      <w:r w:rsidRPr="0030052A">
        <w:rPr>
          <w:rFonts w:ascii="Times New Roman" w:hAnsi="Times New Roman" w:cs="Times New Roman"/>
        </w:rPr>
        <w:t>, or International Council for Commercial Arbitration (ICCA)</w:t>
      </w:r>
      <w:r w:rsidRPr="0030052A">
        <w:rPr>
          <w:rStyle w:val="FootnoteReference"/>
          <w:rFonts w:ascii="Times New Roman" w:hAnsi="Times New Roman" w:cs="Times New Roman"/>
        </w:rPr>
        <w:footnoteReference w:id="37"/>
      </w:r>
      <w:r w:rsidRPr="0030052A">
        <w:rPr>
          <w:rFonts w:ascii="Times New Roman" w:hAnsi="Times New Roman" w:cs="Times New Roman"/>
        </w:rPr>
        <w:t xml:space="preserve"> could introduce a cross-border accreditation system, model code of ethics, and centralised vetting mechanisms. Analogous to the IBA Guidelines on Conflicts of Interest for Arbitrators 2023, such an initiative would significantly enhance procedural legitimacy and uniform ethical standards in global arbitral practice.</w:t>
      </w:r>
    </w:p>
    <w:p w14:paraId="2CF639F6" w14:textId="77777777" w:rsidR="001848E1" w:rsidRPr="0030052A" w:rsidRDefault="001848E1" w:rsidP="00075AF6">
      <w:pPr>
        <w:spacing w:after="0" w:line="276" w:lineRule="auto"/>
        <w:jc w:val="both"/>
        <w:rPr>
          <w:rFonts w:ascii="Times New Roman" w:hAnsi="Times New Roman" w:cs="Times New Roman"/>
        </w:rPr>
      </w:pPr>
    </w:p>
    <w:p w14:paraId="769CA29E" w14:textId="0C584DBE" w:rsidR="001848E1" w:rsidRPr="004417FE" w:rsidRDefault="001848E1" w:rsidP="00075AF6">
      <w:pPr>
        <w:spacing w:after="0" w:line="276" w:lineRule="auto"/>
        <w:jc w:val="both"/>
        <w:rPr>
          <w:rFonts w:ascii="Times New Roman" w:hAnsi="Times New Roman" w:cs="Times New Roman"/>
          <w:b/>
          <w:bCs/>
        </w:rPr>
      </w:pPr>
      <w:r w:rsidRPr="0030052A">
        <w:rPr>
          <w:rFonts w:ascii="Times New Roman" w:hAnsi="Times New Roman" w:cs="Times New Roman"/>
          <w:b/>
          <w:bCs/>
        </w:rPr>
        <w:t>7.0</w:t>
      </w:r>
      <w:r w:rsidRPr="0030052A">
        <w:rPr>
          <w:rFonts w:ascii="Times New Roman" w:hAnsi="Times New Roman" w:cs="Times New Roman"/>
          <w:b/>
          <w:bCs/>
        </w:rPr>
        <w:tab/>
      </w:r>
      <w:r w:rsidR="004417FE" w:rsidRPr="0030052A">
        <w:rPr>
          <w:rFonts w:ascii="Times New Roman" w:hAnsi="Times New Roman" w:cs="Times New Roman"/>
          <w:b/>
          <w:bCs/>
        </w:rPr>
        <w:t xml:space="preserve">EMERGING FRONTIERS: AI, ALGORITHMIC </w:t>
      </w:r>
      <w:r w:rsidR="004417FE">
        <w:rPr>
          <w:rFonts w:ascii="Times New Roman" w:hAnsi="Times New Roman" w:cs="Times New Roman"/>
          <w:b/>
          <w:bCs/>
        </w:rPr>
        <w:tab/>
        <w:t>E</w:t>
      </w:r>
      <w:r w:rsidR="004417FE" w:rsidRPr="0030052A">
        <w:rPr>
          <w:rFonts w:ascii="Times New Roman" w:hAnsi="Times New Roman" w:cs="Times New Roman"/>
          <w:b/>
          <w:bCs/>
        </w:rPr>
        <w:t>XPERTS, AND DIGITAL FORENSICS</w:t>
      </w:r>
    </w:p>
    <w:p w14:paraId="721779D0"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The advent of artificial intelligence (AI), algorithmic modelling, and digital forensics is transforming the nature and function of expert evidence in arbitration. Increasingly, AI-based systems are being used to perform or supplement expert roles, ranging from quantum modelling in construction disputes to blockchain-enabled forensic audits. Tools like the SCC’s Digital Dispute Resolution Protocol 2021</w:t>
      </w:r>
      <w:r w:rsidRPr="0030052A">
        <w:rPr>
          <w:rStyle w:val="FootnoteReference"/>
          <w:rFonts w:ascii="Times New Roman" w:hAnsi="Times New Roman" w:cs="Times New Roman"/>
        </w:rPr>
        <w:footnoteReference w:id="38"/>
      </w:r>
      <w:r w:rsidRPr="0030052A">
        <w:rPr>
          <w:rFonts w:ascii="Times New Roman" w:hAnsi="Times New Roman" w:cs="Times New Roman"/>
        </w:rPr>
        <w:t xml:space="preserve"> and decentralised platforms such as Kleros exemplify how expert systems may eventually replace or augment human testimony.</w:t>
      </w:r>
    </w:p>
    <w:p w14:paraId="09A9087E" w14:textId="77777777" w:rsidR="001848E1" w:rsidRPr="0030052A" w:rsidRDefault="001848E1" w:rsidP="00075AF6">
      <w:pPr>
        <w:spacing w:after="0" w:line="276" w:lineRule="auto"/>
        <w:jc w:val="both"/>
        <w:rPr>
          <w:rFonts w:ascii="Times New Roman" w:hAnsi="Times New Roman" w:cs="Times New Roman"/>
        </w:rPr>
      </w:pPr>
    </w:p>
    <w:p w14:paraId="34B77ADA"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Machine learning (ML) algorithms are already being deployed to calculate loss valuations, assess project delays, and detect accounting anomalies. In International Federation of Consulting Engineers FIDIC-based</w:t>
      </w:r>
      <w:r w:rsidRPr="0030052A">
        <w:rPr>
          <w:rStyle w:val="FootnoteReference"/>
          <w:rFonts w:ascii="Times New Roman" w:hAnsi="Times New Roman" w:cs="Times New Roman"/>
        </w:rPr>
        <w:footnoteReference w:id="39"/>
      </w:r>
      <w:r w:rsidRPr="0030052A">
        <w:rPr>
          <w:rFonts w:ascii="Times New Roman" w:hAnsi="Times New Roman" w:cs="Times New Roman"/>
        </w:rPr>
        <w:t xml:space="preserve"> infrastructure disputes, AI-generated delay analysis reports have </w:t>
      </w:r>
      <w:r w:rsidRPr="0030052A">
        <w:rPr>
          <w:rFonts w:ascii="Times New Roman" w:hAnsi="Times New Roman" w:cs="Times New Roman"/>
        </w:rPr>
        <w:lastRenderedPageBreak/>
        <w:t>become routine in the Asia-Pacific region. However, the opacity of algorithmic processes, the so-called black box problem raises procedural challenges. The lack of transparency in training data, algorithmic architecture, and validation methodologies renders traditional evidentiary thresholds (relevance, reliability, expertise) increasingly strained.</w:t>
      </w:r>
    </w:p>
    <w:p w14:paraId="7DF0D60F" w14:textId="77777777" w:rsidR="001848E1" w:rsidRPr="0030052A" w:rsidRDefault="001848E1" w:rsidP="00075AF6">
      <w:pPr>
        <w:spacing w:after="0" w:line="276" w:lineRule="auto"/>
        <w:jc w:val="both"/>
        <w:rPr>
          <w:rFonts w:ascii="Times New Roman" w:hAnsi="Times New Roman" w:cs="Times New Roman"/>
        </w:rPr>
      </w:pPr>
    </w:p>
    <w:p w14:paraId="1B50E7A0"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 xml:space="preserve">The explainability of AI-generated expert output becomes a serious procedural concern. If parties are unable to interrogate how an AI system arrived at a conclusion, the principle of </w:t>
      </w:r>
      <w:r w:rsidRPr="0030052A">
        <w:rPr>
          <w:rFonts w:ascii="Times New Roman" w:hAnsi="Times New Roman" w:cs="Times New Roman"/>
          <w:i/>
          <w:iCs/>
        </w:rPr>
        <w:t>audi alteram partem</w:t>
      </w:r>
      <w:r w:rsidRPr="0030052A">
        <w:rPr>
          <w:rFonts w:ascii="Times New Roman" w:hAnsi="Times New Roman" w:cs="Times New Roman"/>
        </w:rPr>
        <w:t xml:space="preserve"> (the right to be heard) is fundamentally compromised. The 2023 UNESCO AI Ethics Recommendation</w:t>
      </w:r>
      <w:r w:rsidRPr="0030052A">
        <w:rPr>
          <w:rStyle w:val="FootnoteReference"/>
          <w:rFonts w:ascii="Times New Roman" w:hAnsi="Times New Roman" w:cs="Times New Roman"/>
        </w:rPr>
        <w:footnoteReference w:id="40"/>
      </w:r>
      <w:r w:rsidRPr="0030052A">
        <w:rPr>
          <w:rFonts w:ascii="Times New Roman" w:hAnsi="Times New Roman" w:cs="Times New Roman"/>
        </w:rPr>
        <w:t xml:space="preserve"> has warned against excessive reliance on opaque algorithmic systems in adjudicatory settings, highlighting the risks posed to fairness, accountability, and legitimacy.</w:t>
      </w:r>
    </w:p>
    <w:p w14:paraId="09D2A771" w14:textId="77777777" w:rsidR="001848E1" w:rsidRPr="0030052A" w:rsidRDefault="001848E1" w:rsidP="00075AF6">
      <w:pPr>
        <w:spacing w:after="0" w:line="276" w:lineRule="auto"/>
        <w:jc w:val="both"/>
        <w:rPr>
          <w:rFonts w:ascii="Times New Roman" w:hAnsi="Times New Roman" w:cs="Times New Roman"/>
        </w:rPr>
      </w:pPr>
    </w:p>
    <w:p w14:paraId="716E4402"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Attribution of responsibility poses further ethical dilemmas. When an AI-based expert system errs, who bears liability, the developer, the instructing party, or the tribunal that admitted the evidence? Additionally, traditional mechanisms such as cross-examination lose efficacy when applied to algorithmic testimony. Scholars like Surden have proposed the development of a new epistemology to address the unique features of algorithmic testimony in legal processes.</w:t>
      </w:r>
      <w:r w:rsidRPr="0030052A">
        <w:rPr>
          <w:rStyle w:val="FootnoteReference"/>
          <w:rFonts w:ascii="Times New Roman" w:hAnsi="Times New Roman" w:cs="Times New Roman"/>
        </w:rPr>
        <w:footnoteReference w:id="41"/>
      </w:r>
    </w:p>
    <w:p w14:paraId="2E33F624" w14:textId="77777777" w:rsidR="001848E1" w:rsidRPr="0030052A" w:rsidRDefault="001848E1" w:rsidP="00075AF6">
      <w:pPr>
        <w:spacing w:after="0" w:line="276" w:lineRule="auto"/>
        <w:jc w:val="both"/>
        <w:rPr>
          <w:rFonts w:ascii="Times New Roman" w:hAnsi="Times New Roman" w:cs="Times New Roman"/>
        </w:rPr>
      </w:pPr>
    </w:p>
    <w:p w14:paraId="1A768ED5"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 xml:space="preserve">To future-proof arbitral procedure, several safeguards are essential, mandatory disclosure of algorithmic architecture, training data, and bias assessments; guaranteed cross-party access to the expert systems used; and the tribunal’s appointment of independent technical auditors in </w:t>
      </w:r>
      <w:r w:rsidRPr="0030052A">
        <w:rPr>
          <w:rFonts w:ascii="Times New Roman" w:hAnsi="Times New Roman" w:cs="Times New Roman"/>
        </w:rPr>
        <w:lastRenderedPageBreak/>
        <w:t>disputes involving AI-generated evidence. As AI tools such as predictive coding, financial analytics, and blockchain tracing become more prevalent, arbitral institutions must also clarify evidentiary standards, ethical liabilities, and admissibility protocols.</w:t>
      </w:r>
    </w:p>
    <w:p w14:paraId="51524D5B" w14:textId="77777777" w:rsidR="001848E1" w:rsidRPr="0030052A" w:rsidRDefault="001848E1" w:rsidP="00075AF6">
      <w:pPr>
        <w:spacing w:after="0" w:line="276" w:lineRule="auto"/>
        <w:jc w:val="both"/>
        <w:rPr>
          <w:rFonts w:ascii="Times New Roman" w:hAnsi="Times New Roman" w:cs="Times New Roman"/>
        </w:rPr>
      </w:pPr>
    </w:p>
    <w:p w14:paraId="5D6E7CF0"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Furthermore, forensic technologies now enable the analysis of digital footprints, cyber breach analytics, and metadata verification, generating new forms of expert evidence. While these tools enhance investigative capability, they demand heightened technical competence and ethical scrutiny from both experts and tribunals. The intersection of law and emerging technology thus necessitates a new jurisprudence of digital expertise.</w:t>
      </w:r>
    </w:p>
    <w:p w14:paraId="72BBFE11" w14:textId="77777777" w:rsidR="001848E1" w:rsidRPr="0030052A" w:rsidRDefault="001848E1" w:rsidP="00075AF6">
      <w:pPr>
        <w:spacing w:after="0" w:line="276" w:lineRule="auto"/>
        <w:jc w:val="both"/>
        <w:rPr>
          <w:rFonts w:ascii="Times New Roman" w:hAnsi="Times New Roman" w:cs="Times New Roman"/>
        </w:rPr>
      </w:pPr>
    </w:p>
    <w:p w14:paraId="2008AC3B" w14:textId="7D060FCC" w:rsidR="001848E1" w:rsidRPr="004417FE" w:rsidRDefault="001848E1" w:rsidP="00075AF6">
      <w:pPr>
        <w:spacing w:after="0" w:line="276" w:lineRule="auto"/>
        <w:jc w:val="both"/>
        <w:rPr>
          <w:rFonts w:ascii="Times New Roman" w:hAnsi="Times New Roman" w:cs="Times New Roman"/>
          <w:b/>
          <w:bCs/>
        </w:rPr>
      </w:pPr>
      <w:r w:rsidRPr="0030052A">
        <w:rPr>
          <w:rFonts w:ascii="Times New Roman" w:hAnsi="Times New Roman" w:cs="Times New Roman"/>
          <w:b/>
          <w:bCs/>
        </w:rPr>
        <w:t>8.0</w:t>
      </w:r>
      <w:r w:rsidRPr="0030052A">
        <w:rPr>
          <w:rFonts w:ascii="Times New Roman" w:hAnsi="Times New Roman" w:cs="Times New Roman"/>
          <w:b/>
          <w:bCs/>
        </w:rPr>
        <w:tab/>
      </w:r>
      <w:r w:rsidR="004417FE" w:rsidRPr="0030052A">
        <w:rPr>
          <w:rFonts w:ascii="Times New Roman" w:hAnsi="Times New Roman" w:cs="Times New Roman"/>
          <w:b/>
          <w:bCs/>
        </w:rPr>
        <w:t>BALANCING FAIRNESS AND FUNCTION</w:t>
      </w:r>
    </w:p>
    <w:p w14:paraId="07C40E08"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Restoring procedural integrity and balancing the adversarial tendencies in arbitration requires comprehensive reform of how expert evidence is governed. A key strategy lies in encouraging hybrid models that allow tribunals to appoint experts from a pool of party-nominated candidates, effectively combining adversarial participation with the objectivity of judicial neutrality. This approach, already adopted by institutions such as ICSID</w:t>
      </w:r>
      <w:r w:rsidRPr="0030052A">
        <w:rPr>
          <w:rStyle w:val="FootnoteReference"/>
          <w:rFonts w:ascii="Times New Roman" w:hAnsi="Times New Roman" w:cs="Times New Roman"/>
        </w:rPr>
        <w:footnoteReference w:id="42"/>
      </w:r>
      <w:r w:rsidRPr="0030052A">
        <w:rPr>
          <w:rFonts w:ascii="Times New Roman" w:hAnsi="Times New Roman" w:cs="Times New Roman"/>
        </w:rPr>
        <w:t xml:space="preserve"> and SIAC</w:t>
      </w:r>
      <w:r w:rsidRPr="0030052A">
        <w:rPr>
          <w:rStyle w:val="FootnoteReference"/>
          <w:rFonts w:ascii="Times New Roman" w:hAnsi="Times New Roman" w:cs="Times New Roman"/>
        </w:rPr>
        <w:footnoteReference w:id="43"/>
      </w:r>
      <w:r w:rsidRPr="0030052A">
        <w:rPr>
          <w:rFonts w:ascii="Times New Roman" w:hAnsi="Times New Roman" w:cs="Times New Roman"/>
        </w:rPr>
        <w:t xml:space="preserve">, enhances both fairness and efficiency. A compelling illustration of this in practice is </w:t>
      </w:r>
      <w:r w:rsidRPr="0030052A">
        <w:rPr>
          <w:rFonts w:ascii="Times New Roman" w:hAnsi="Times New Roman" w:cs="Times New Roman"/>
          <w:i/>
          <w:iCs/>
        </w:rPr>
        <w:t>Tethyan Copper Company v. Pakistan</w:t>
      </w:r>
      <w:r w:rsidRPr="0030052A">
        <w:rPr>
          <w:rStyle w:val="FootnoteReference"/>
          <w:rFonts w:ascii="Times New Roman" w:hAnsi="Times New Roman" w:cs="Times New Roman"/>
        </w:rPr>
        <w:footnoteReference w:id="44"/>
      </w:r>
      <w:r w:rsidRPr="0030052A">
        <w:rPr>
          <w:rFonts w:ascii="Times New Roman" w:hAnsi="Times New Roman" w:cs="Times New Roman"/>
        </w:rPr>
        <w:t>, where triangulation through a mixed expert panel helped reconcile divergent damages methodologies. The result was a more internally consistent award that proved more resistant to annulment, demonstrating the potential of such hybrid models to increase the credibility and reliability of arbitral outcomes.</w:t>
      </w:r>
    </w:p>
    <w:p w14:paraId="075AFE09" w14:textId="77777777" w:rsidR="001848E1" w:rsidRPr="0030052A" w:rsidRDefault="001848E1" w:rsidP="00075AF6">
      <w:pPr>
        <w:spacing w:after="0" w:line="276" w:lineRule="auto"/>
        <w:jc w:val="both"/>
        <w:rPr>
          <w:rFonts w:ascii="Times New Roman" w:hAnsi="Times New Roman" w:cs="Times New Roman"/>
        </w:rPr>
      </w:pPr>
    </w:p>
    <w:p w14:paraId="48D04A6E"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The reform agenda must also prioritise transparency in the appointment process. Publishing clear guidelines on expert selection, ensuring disclosure of prior engagements, and allowing parties a role in the vetting process can reduce suspicions of bias and foster procedural legitimacy. Alongside this, institutionalised accreditation schemes at regional and international levels are needed to certify the competence and ethical standing of expert witnesses, paralleling existing systems for arbitrators and mediators. These schemes can help build trust and provide a framework for ongoing professional accountability.</w:t>
      </w:r>
    </w:p>
    <w:p w14:paraId="79C42969" w14:textId="77777777" w:rsidR="001848E1" w:rsidRPr="0030052A" w:rsidRDefault="001848E1" w:rsidP="00075AF6">
      <w:pPr>
        <w:spacing w:after="0" w:line="276" w:lineRule="auto"/>
        <w:jc w:val="both"/>
        <w:rPr>
          <w:rFonts w:ascii="Times New Roman" w:hAnsi="Times New Roman" w:cs="Times New Roman"/>
        </w:rPr>
      </w:pPr>
    </w:p>
    <w:p w14:paraId="75759DF9"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Standardising procedural protocols for expert engagement is another crucial step. Institutions should adopt harmonised rules on expert reports, joint statements, and the practice of hot-tubbing to ensure consistency and clarity across jurisdictions. Procedural efficiency can be further enhanced through the use of expert protocol orders jointly issued directives that define the timelines, scope, and boundaries of expert involvement. These have proven particularly effective in institutional contexts like the LCIA and SCC, enabling more disciplined and cooperative expert participation.</w:t>
      </w:r>
    </w:p>
    <w:p w14:paraId="3C3A4AF9" w14:textId="77777777" w:rsidR="001848E1" w:rsidRPr="0030052A" w:rsidRDefault="001848E1" w:rsidP="00075AF6">
      <w:pPr>
        <w:spacing w:after="0" w:line="276" w:lineRule="auto"/>
        <w:jc w:val="both"/>
        <w:rPr>
          <w:rFonts w:ascii="Times New Roman" w:hAnsi="Times New Roman" w:cs="Times New Roman"/>
        </w:rPr>
      </w:pPr>
    </w:p>
    <w:p w14:paraId="235B137E" w14:textId="10381C68"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 xml:space="preserve">Ethics oversight must also be integrated into institutional structures. Arbitral centres should establish ethics boards or review panels capable of investigating and sanctioning expert misconduct. Internal disciplinary mechanisms would offer a much-needed layer of accountability, </w:t>
      </w:r>
      <w:r w:rsidR="004417FE" w:rsidRPr="0030052A">
        <w:rPr>
          <w:rFonts w:ascii="Times New Roman" w:hAnsi="Times New Roman" w:cs="Times New Roman"/>
        </w:rPr>
        <w:t>deter</w:t>
      </w:r>
      <w:r w:rsidRPr="0030052A">
        <w:rPr>
          <w:rFonts w:ascii="Times New Roman" w:hAnsi="Times New Roman" w:cs="Times New Roman"/>
        </w:rPr>
        <w:t xml:space="preserve"> unethical conduct</w:t>
      </w:r>
      <w:r w:rsidR="00CF71E5">
        <w:rPr>
          <w:rFonts w:ascii="Times New Roman" w:hAnsi="Times New Roman" w:cs="Times New Roman"/>
        </w:rPr>
        <w:t>,</w:t>
      </w:r>
      <w:r w:rsidRPr="0030052A">
        <w:rPr>
          <w:rFonts w:ascii="Times New Roman" w:hAnsi="Times New Roman" w:cs="Times New Roman"/>
        </w:rPr>
        <w:t xml:space="preserve"> and </w:t>
      </w:r>
      <w:r w:rsidR="00CF71E5">
        <w:rPr>
          <w:rFonts w:ascii="Times New Roman" w:hAnsi="Times New Roman" w:cs="Times New Roman"/>
        </w:rPr>
        <w:t>reinforce</w:t>
      </w:r>
      <w:r w:rsidRPr="0030052A">
        <w:rPr>
          <w:rFonts w:ascii="Times New Roman" w:hAnsi="Times New Roman" w:cs="Times New Roman"/>
        </w:rPr>
        <w:t xml:space="preserve"> the perception of neutrality. In tandem, the development of shared expert rosters, enriched with conflict disclosures and AI ethics declarations, can support consistency and transparency. An Expert Witness Register would provide a useful model, which could be expanded and enhanced to reflect jurisdictional specialisation and evolving technological standards.</w:t>
      </w:r>
    </w:p>
    <w:p w14:paraId="780784DD" w14:textId="77777777" w:rsidR="001848E1" w:rsidRPr="0030052A" w:rsidRDefault="001848E1" w:rsidP="00075AF6">
      <w:pPr>
        <w:spacing w:after="0" w:line="276" w:lineRule="auto"/>
        <w:jc w:val="both"/>
        <w:rPr>
          <w:rFonts w:ascii="Times New Roman" w:hAnsi="Times New Roman" w:cs="Times New Roman"/>
        </w:rPr>
      </w:pPr>
    </w:p>
    <w:p w14:paraId="6B6F9009" w14:textId="3494DC76" w:rsidR="001848E1" w:rsidRPr="0030052A" w:rsidRDefault="004417FE" w:rsidP="00075AF6">
      <w:pPr>
        <w:spacing w:after="0" w:line="276" w:lineRule="auto"/>
        <w:jc w:val="both"/>
        <w:rPr>
          <w:rFonts w:ascii="Times New Roman" w:hAnsi="Times New Roman" w:cs="Times New Roman"/>
        </w:rPr>
      </w:pPr>
      <w:r>
        <w:rPr>
          <w:rFonts w:ascii="Times New Roman" w:hAnsi="Times New Roman" w:cs="Times New Roman"/>
        </w:rPr>
        <w:t>Leadership from key institutions is essential to advance these reforms. The ICC could establish a permanent expert certification body within its International Centre for ADR, while the LCA might partner with technical professional institutes, such as the Council for the Regulation of Engineering in Nigeria (COREN) and the Nigerian Institute of Quantity Surveyors (NIQS), to build domestic registries of qualified technical experts. Other centers, such as KIAC, MCIA, and SCCA, are well-positioned to pioneer regionally adapted, technology-integrated ethical frameworks for expert evidence in arbitration. These centers can serve as incubators for best practices that reflect both global standards and local realities.</w:t>
      </w:r>
      <w:r w:rsidR="001848E1" w:rsidRPr="0030052A">
        <w:rPr>
          <w:rFonts w:ascii="Times New Roman" w:hAnsi="Times New Roman" w:cs="Times New Roman"/>
        </w:rPr>
        <w:t xml:space="preserve"> </w:t>
      </w:r>
      <w:r>
        <w:rPr>
          <w:rFonts w:ascii="Times New Roman" w:hAnsi="Times New Roman" w:cs="Times New Roman"/>
        </w:rPr>
        <w:t xml:space="preserve">A </w:t>
      </w:r>
      <w:r w:rsidR="001848E1" w:rsidRPr="0030052A">
        <w:rPr>
          <w:rFonts w:ascii="Times New Roman" w:hAnsi="Times New Roman" w:cs="Times New Roman"/>
        </w:rPr>
        <w:t>comprehensive model code of conduct should underpin these reforms. It must articulate a duty of candour and methodological transparency, prohibit contingency or outcome-based fees, mandate procedural cooperation through mechanisms such as joint statements and hot-tubbing, and require disclosure of prior appointments in similar disputes. Such a code, modelled on the UNIDROIT-ALI Principles of Transnational Civil Procedure</w:t>
      </w:r>
      <w:r w:rsidR="001848E1" w:rsidRPr="0030052A">
        <w:rPr>
          <w:rStyle w:val="FootnoteReference"/>
          <w:rFonts w:ascii="Times New Roman" w:hAnsi="Times New Roman" w:cs="Times New Roman"/>
        </w:rPr>
        <w:footnoteReference w:id="45"/>
      </w:r>
      <w:r w:rsidR="001848E1" w:rsidRPr="0030052A">
        <w:rPr>
          <w:rFonts w:ascii="Times New Roman" w:hAnsi="Times New Roman" w:cs="Times New Roman"/>
        </w:rPr>
        <w:t xml:space="preserve"> and adapted to arbitral contexts, would not only harmonise ethical expectations but also enhance confidence in the reliability of expert testimony across borders.</w:t>
      </w:r>
    </w:p>
    <w:p w14:paraId="31F5A846" w14:textId="77777777" w:rsidR="001848E1" w:rsidRPr="0030052A" w:rsidRDefault="001848E1" w:rsidP="00075AF6">
      <w:pPr>
        <w:spacing w:after="0" w:line="276" w:lineRule="auto"/>
        <w:jc w:val="both"/>
        <w:rPr>
          <w:rFonts w:ascii="Times New Roman" w:hAnsi="Times New Roman" w:cs="Times New Roman"/>
        </w:rPr>
      </w:pPr>
    </w:p>
    <w:p w14:paraId="57B8337F" w14:textId="5896A824" w:rsidR="001848E1" w:rsidRPr="004417FE" w:rsidRDefault="001848E1" w:rsidP="00075AF6">
      <w:pPr>
        <w:spacing w:after="0" w:line="276" w:lineRule="auto"/>
        <w:jc w:val="both"/>
        <w:rPr>
          <w:rFonts w:ascii="Times New Roman" w:hAnsi="Times New Roman" w:cs="Times New Roman"/>
          <w:b/>
          <w:bCs/>
        </w:rPr>
      </w:pPr>
      <w:r w:rsidRPr="0030052A">
        <w:rPr>
          <w:rFonts w:ascii="Times New Roman" w:hAnsi="Times New Roman" w:cs="Times New Roman"/>
          <w:b/>
          <w:bCs/>
        </w:rPr>
        <w:t>9.0</w:t>
      </w:r>
      <w:r w:rsidRPr="0030052A">
        <w:rPr>
          <w:rFonts w:ascii="Times New Roman" w:hAnsi="Times New Roman" w:cs="Times New Roman"/>
          <w:b/>
          <w:bCs/>
        </w:rPr>
        <w:tab/>
      </w:r>
      <w:r w:rsidR="004417FE" w:rsidRPr="0030052A">
        <w:rPr>
          <w:rFonts w:ascii="Times New Roman" w:hAnsi="Times New Roman" w:cs="Times New Roman"/>
          <w:b/>
          <w:bCs/>
        </w:rPr>
        <w:t>CONCLUSION</w:t>
      </w:r>
    </w:p>
    <w:p w14:paraId="509C799C"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 xml:space="preserve">Expert witnesses remain an indispensable component of modern arbitration, especially in technically complex disputes. However, their role is increasingly undermined by procedural deficiencies, ethical ambiguity, and epistemic instability. While party autonomy is a defining feature of arbitration, the unchecked partisanship that often accompanies expert engagement risks distorting rather than clarifying </w:t>
      </w:r>
      <w:r w:rsidRPr="0030052A">
        <w:rPr>
          <w:rFonts w:ascii="Times New Roman" w:hAnsi="Times New Roman" w:cs="Times New Roman"/>
        </w:rPr>
        <w:lastRenderedPageBreak/>
        <w:t>contested facts. This tension between autonomy and fairness reveals a critical need for recalibration, one that transforms the expert’s role from a partisan agent to a principled contributor to institutional truth-finding.</w:t>
      </w:r>
    </w:p>
    <w:p w14:paraId="1DF233C9" w14:textId="77777777" w:rsidR="001848E1" w:rsidRPr="0030052A" w:rsidRDefault="001848E1" w:rsidP="00075AF6">
      <w:pPr>
        <w:spacing w:after="0" w:line="276" w:lineRule="auto"/>
        <w:jc w:val="both"/>
        <w:rPr>
          <w:rFonts w:ascii="Times New Roman" w:hAnsi="Times New Roman" w:cs="Times New Roman"/>
        </w:rPr>
      </w:pPr>
    </w:p>
    <w:p w14:paraId="6FB95EE3"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Unchecked expert partisanship does more than erode credibility, it undermines arbitration’s legitimacy as a reliable dispute resolution mechanism. When expert evidence is wielded as a strategic weapon rather than an evidentiary tool, both procedural integrity and substantive justice are compromised. The current default where parties shop for favourable experts and tribunals struggle to navigate conflicting opinions cannot endure if arbitration is to meet the demands of increasingly sophisticated, high-stakes disputes.</w:t>
      </w:r>
    </w:p>
    <w:p w14:paraId="357A2580" w14:textId="77777777" w:rsidR="001848E1" w:rsidRPr="0030052A" w:rsidRDefault="001848E1" w:rsidP="00075AF6">
      <w:pPr>
        <w:spacing w:after="0" w:line="276" w:lineRule="auto"/>
        <w:jc w:val="both"/>
        <w:rPr>
          <w:rFonts w:ascii="Times New Roman" w:hAnsi="Times New Roman" w:cs="Times New Roman"/>
        </w:rPr>
      </w:pPr>
    </w:p>
    <w:p w14:paraId="29FD5CDE"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Hence, this paper calls for collective and systemic reform. Arbitral institutions, tribunals, and the broader legal community must develop and enforce ethical, procedural, and technological safeguards that ensure expert evidence remains a servant of justice. Tools such as tribunal-appointed experts, expert conferencing, protocol orders, and evidentiary admissibility thresholds should no longer be optional enhancements, but standard features of arbitral procedure. These mechanisms can restore balance between adversarial freedom and institutional control.</w:t>
      </w:r>
    </w:p>
    <w:p w14:paraId="77E0816B" w14:textId="77777777" w:rsidR="001848E1" w:rsidRPr="0030052A" w:rsidRDefault="001848E1" w:rsidP="00075AF6">
      <w:pPr>
        <w:spacing w:after="0" w:line="276" w:lineRule="auto"/>
        <w:jc w:val="both"/>
        <w:rPr>
          <w:rFonts w:ascii="Times New Roman" w:hAnsi="Times New Roman" w:cs="Times New Roman"/>
        </w:rPr>
      </w:pPr>
    </w:p>
    <w:p w14:paraId="7AD1DEBA"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As arbitration submerges in an era shaped by AI technologies and digital forensics, the need for robust ethical and procedural scaffolding becomes urgent. Without clear standards, the evidentiary legitimacy of both human and machine-generated expert input will remain in question. Institutions must lead in embedding safeguards that uphold due process and ensure transparency, whether testimony comes from a person or a predictive model.</w:t>
      </w:r>
    </w:p>
    <w:p w14:paraId="605A8552" w14:textId="77777777" w:rsidR="001848E1" w:rsidRPr="0030052A" w:rsidRDefault="001848E1" w:rsidP="00075AF6">
      <w:pPr>
        <w:spacing w:after="0" w:line="276" w:lineRule="auto"/>
        <w:jc w:val="both"/>
        <w:rPr>
          <w:rFonts w:ascii="Times New Roman" w:hAnsi="Times New Roman" w:cs="Times New Roman"/>
        </w:rPr>
      </w:pPr>
    </w:p>
    <w:p w14:paraId="0BB98F75"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lastRenderedPageBreak/>
        <w:t>But reform must go beyond symbolic codes and aspirational declarations. It must entail concrete action: mandatory declarations of methodological independence, institutionalised hot-tubbing as the default for technical cases, independent and vetted expert databases, tribunal-curated hybrid appointment models, and arbitral-specific admissibility standards akin to the Daubert test.</w:t>
      </w:r>
    </w:p>
    <w:p w14:paraId="68C127DC" w14:textId="77777777" w:rsidR="001848E1" w:rsidRPr="0030052A" w:rsidRDefault="001848E1" w:rsidP="00075AF6">
      <w:pPr>
        <w:spacing w:after="0" w:line="276" w:lineRule="auto"/>
        <w:jc w:val="both"/>
        <w:rPr>
          <w:rFonts w:ascii="Times New Roman" w:hAnsi="Times New Roman" w:cs="Times New Roman"/>
        </w:rPr>
      </w:pPr>
    </w:p>
    <w:p w14:paraId="55231124" w14:textId="77777777" w:rsidR="001848E1" w:rsidRPr="0030052A" w:rsidRDefault="001848E1" w:rsidP="00075AF6">
      <w:pPr>
        <w:spacing w:after="0" w:line="276" w:lineRule="auto"/>
        <w:jc w:val="both"/>
        <w:rPr>
          <w:rFonts w:ascii="Times New Roman" w:hAnsi="Times New Roman" w:cs="Times New Roman"/>
        </w:rPr>
      </w:pPr>
      <w:r w:rsidRPr="0030052A">
        <w:rPr>
          <w:rFonts w:ascii="Times New Roman" w:hAnsi="Times New Roman" w:cs="Times New Roman"/>
        </w:rPr>
        <w:t>Ultimately, the future of arbitration demands a fundamental epistemic rebalancing, one that shifts the emphasis from persuasive advocacy to principled expertise. Only by restoring expert testimony to its original role as a vehicle for truth, rather than a tool of tactics. The ideal of the neutral expert, for a long time aspirational, must now be realised through institutional design, coordinated governance, and a global commitment to reform.</w:t>
      </w:r>
    </w:p>
    <w:p w14:paraId="1814451D" w14:textId="77777777" w:rsidR="001848E1" w:rsidRPr="0030052A" w:rsidRDefault="001848E1" w:rsidP="00075AF6">
      <w:pPr>
        <w:spacing w:line="276" w:lineRule="auto"/>
        <w:jc w:val="both"/>
        <w:rPr>
          <w:rFonts w:ascii="Times New Roman" w:hAnsi="Times New Roman" w:cs="Times New Roman"/>
        </w:rPr>
      </w:pPr>
    </w:p>
    <w:sectPr w:rsidR="001848E1" w:rsidRPr="0030052A" w:rsidSect="004417FE">
      <w:footnotePr>
        <w:numRestart w:val="eachSect"/>
      </w:footnotePr>
      <w:type w:val="continuous"/>
      <w:pgSz w:w="11906" w:h="16838"/>
      <w:pgMar w:top="2246" w:right="2549" w:bottom="4320" w:left="2520" w:header="708" w:footer="708" w:gutter="0"/>
      <w:pgNumType w:start="172"/>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6-05-09T19:42:00Z" w:initials="H">
    <w:p w14:paraId="648B4D90" w14:textId="3A4869B1" w:rsidR="00075AF6" w:rsidRDefault="00075AF6">
      <w:pPr>
        <w:pStyle w:val="CommentText"/>
      </w:pPr>
      <w:r>
        <w:rPr>
          <w:rStyle w:val="CommentReference"/>
        </w:rPr>
        <w:annotationRef/>
      </w:r>
      <w:r>
        <w:t>Reduce the title to not less than 14 words</w:t>
      </w:r>
    </w:p>
  </w:comment>
  <w:comment w:id="1" w:author="HP" w:date="2026-05-09T20:17:00Z" w:initials="H">
    <w:p w14:paraId="748474F8" w14:textId="570F4830" w:rsidR="00032F2A" w:rsidRDefault="00032F2A">
      <w:pPr>
        <w:pStyle w:val="CommentText"/>
      </w:pPr>
      <w:r>
        <w:rPr>
          <w:rStyle w:val="CommentReference"/>
        </w:rPr>
        <w:annotationRef/>
      </w:r>
      <w:r>
        <w:t>Reduce to maximum of  5 words or phrases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8B4D90" w15:done="0"/>
  <w15:commentEx w15:paraId="748474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BD9059" w16cex:dateUtc="2026-05-09T18:42:00Z"/>
  <w16cex:commentExtensible w16cex:durableId="7F38E3EF" w16cex:dateUtc="2026-05-09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8B4D90" w16cid:durableId="15BD9059"/>
  <w16cid:commentId w16cid:paraId="748474F8" w16cid:durableId="7F38E3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0856" w14:textId="77777777" w:rsidR="00A31FCF" w:rsidRDefault="00A31FCF" w:rsidP="001848E1">
      <w:pPr>
        <w:spacing w:after="0" w:line="240" w:lineRule="auto"/>
      </w:pPr>
      <w:r>
        <w:separator/>
      </w:r>
    </w:p>
  </w:endnote>
  <w:endnote w:type="continuationSeparator" w:id="0">
    <w:p w14:paraId="098545B8" w14:textId="77777777" w:rsidR="00A31FCF" w:rsidRDefault="00A31FCF" w:rsidP="0018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9514"/>
      <w:docPartObj>
        <w:docPartGallery w:val="Page Numbers (Bottom of Page)"/>
        <w:docPartUnique/>
      </w:docPartObj>
    </w:sdtPr>
    <w:sdtEndPr>
      <w:rPr>
        <w:noProof/>
      </w:rPr>
    </w:sdtEndPr>
    <w:sdtContent>
      <w:p w14:paraId="0BD5190A" w14:textId="37F9F0B8" w:rsidR="00E70376" w:rsidRDefault="00E70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E790E" w14:textId="77777777" w:rsidR="001848E1" w:rsidRDefault="001848E1" w:rsidP="009200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151634"/>
      <w:docPartObj>
        <w:docPartGallery w:val="Page Numbers (Bottom of Page)"/>
        <w:docPartUnique/>
      </w:docPartObj>
    </w:sdtPr>
    <w:sdtEndPr>
      <w:rPr>
        <w:noProof/>
      </w:rPr>
    </w:sdtEndPr>
    <w:sdtContent>
      <w:p w14:paraId="1D397C81" w14:textId="3B8B4ED5" w:rsidR="00E70376" w:rsidRDefault="00E70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BA3E60" w14:textId="77777777" w:rsidR="001848E1" w:rsidRDefault="001848E1" w:rsidP="009200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8A89" w14:textId="77777777" w:rsidR="00A31FCF" w:rsidRDefault="00A31FCF" w:rsidP="001848E1">
      <w:pPr>
        <w:spacing w:after="0" w:line="240" w:lineRule="auto"/>
      </w:pPr>
      <w:r>
        <w:separator/>
      </w:r>
    </w:p>
  </w:footnote>
  <w:footnote w:type="continuationSeparator" w:id="0">
    <w:p w14:paraId="1A65E124" w14:textId="77777777" w:rsidR="00A31FCF" w:rsidRDefault="00A31FCF" w:rsidP="001848E1">
      <w:pPr>
        <w:spacing w:after="0" w:line="240" w:lineRule="auto"/>
      </w:pPr>
      <w:r>
        <w:continuationSeparator/>
      </w:r>
    </w:p>
  </w:footnote>
  <w:footnote w:id="1">
    <w:p w14:paraId="607FA5E8" w14:textId="4D490BB7" w:rsidR="00A855E1" w:rsidRPr="000A18DA" w:rsidRDefault="00A855E1">
      <w:pPr>
        <w:pStyle w:val="FootnoteText"/>
        <w:rPr>
          <w:rFonts w:ascii="Times New Roman" w:hAnsi="Times New Roman" w:cs="Times New Roman"/>
        </w:rPr>
      </w:pPr>
      <w:r w:rsidRPr="000A18DA">
        <w:rPr>
          <w:rStyle w:val="FootnoteReference"/>
          <w:rFonts w:ascii="Times New Roman" w:hAnsi="Times New Roman" w:cs="Times New Roman"/>
        </w:rPr>
        <w:sym w:font="Symbol" w:char="F02A"/>
      </w:r>
      <w:r w:rsidRPr="000A18DA">
        <w:rPr>
          <w:rFonts w:ascii="Times New Roman" w:hAnsi="Times New Roman" w:cs="Times New Roman"/>
        </w:rPr>
        <w:t xml:space="preserve"> </w:t>
      </w:r>
      <w:r w:rsidRPr="000A18DA">
        <w:rPr>
          <w:rStyle w:val="FootnoteReference"/>
          <w:rFonts w:ascii="Times New Roman" w:hAnsi="Times New Roman" w:cs="Times New Roman"/>
        </w:rPr>
        <w:t>*</w:t>
      </w:r>
      <w:r w:rsidRPr="000A18DA">
        <w:rPr>
          <w:rFonts w:ascii="Times New Roman" w:hAnsi="Times New Roman" w:cs="Times New Roman"/>
        </w:rPr>
        <w:t xml:space="preserve"> </w:t>
      </w:r>
      <w:r w:rsidRPr="000A18DA">
        <w:rPr>
          <w:rFonts w:ascii="Times New Roman" w:hAnsi="Times New Roman" w:cs="Times New Roman"/>
          <w:b/>
          <w:bCs/>
        </w:rPr>
        <w:t>Agada John Elachi,</w:t>
      </w:r>
      <w:r w:rsidRPr="000A18DA">
        <w:rPr>
          <w:rFonts w:ascii="Times New Roman" w:hAnsi="Times New Roman" w:cs="Times New Roman"/>
        </w:rPr>
        <w:t xml:space="preserve"> SAN, Ph.D., FICMC, FCIArb (UK), Managing Partner, Greenfield Chambers</w:t>
      </w:r>
    </w:p>
  </w:footnote>
  <w:footnote w:id="2">
    <w:p w14:paraId="537A6B9E" w14:textId="41DF1A73" w:rsidR="00A855E1" w:rsidRPr="000A18DA" w:rsidRDefault="00A855E1">
      <w:pPr>
        <w:pStyle w:val="FootnoteText"/>
        <w:rPr>
          <w:rFonts w:ascii="Times New Roman" w:hAnsi="Times New Roman" w:cs="Times New Roman"/>
        </w:rPr>
      </w:pPr>
      <w:r w:rsidRPr="000A18DA">
        <w:rPr>
          <w:rStyle w:val="FootnoteReference"/>
          <w:rFonts w:ascii="Times New Roman" w:hAnsi="Times New Roman" w:cs="Times New Roman"/>
        </w:rPr>
        <w:sym w:font="Symbol" w:char="F02A"/>
      </w:r>
      <w:r w:rsidRPr="000A18DA">
        <w:rPr>
          <w:rStyle w:val="FootnoteReference"/>
          <w:rFonts w:ascii="Times New Roman" w:hAnsi="Times New Roman" w:cs="Times New Roman"/>
        </w:rPr>
        <w:sym w:font="Symbol" w:char="F02A"/>
      </w:r>
      <w:r w:rsidRPr="000A18DA">
        <w:rPr>
          <w:rFonts w:ascii="Times New Roman" w:hAnsi="Times New Roman" w:cs="Times New Roman"/>
        </w:rPr>
        <w:t xml:space="preserve"> </w:t>
      </w:r>
      <w:r w:rsidRPr="000A18DA">
        <w:rPr>
          <w:rFonts w:ascii="Times New Roman" w:hAnsi="Times New Roman" w:cs="Times New Roman"/>
        </w:rPr>
        <w:t>Ifeoma G. Konwea, FICMC, MNICArb., FNILA, ASHRM-CP, CVA, Lecturer 1, College of Law and Faculty Member, Prof. Epiphany Azinge Centre for Immigration Law Studies, Gregory University, Uturu, Principal Partner, I. G. Konwea Legal Luminary Per se (IGKL).</w:t>
      </w:r>
    </w:p>
  </w:footnote>
  <w:footnote w:id="3">
    <w:p w14:paraId="3D557356" w14:textId="53AB9DDD" w:rsidR="001848E1" w:rsidRPr="000A18DA" w:rsidRDefault="001848E1" w:rsidP="001848E1">
      <w:pPr>
        <w:pStyle w:val="FootnoteText"/>
        <w:jc w:val="both"/>
        <w:rPr>
          <w:rFonts w:ascii="Times New Roman" w:hAnsi="Times New Roman" w:cs="Times New Roman"/>
          <w:bCs/>
        </w:rPr>
      </w:pPr>
    </w:p>
  </w:footnote>
  <w:footnote w:id="4">
    <w:p w14:paraId="4F22BA90"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Daniel W. </w:t>
      </w:r>
      <w:r w:rsidRPr="000A18DA">
        <w:rPr>
          <w:rFonts w:ascii="Times New Roman" w:hAnsi="Times New Roman" w:cs="Times New Roman"/>
          <w:lang w:val="en-GB"/>
        </w:rPr>
        <w:t>Shuman and Stuart A. Greenberg, ‘The Expert Witness,</w:t>
      </w:r>
      <w:r w:rsidRPr="000A18DA">
        <w:rPr>
          <w:rFonts w:ascii="Times New Roman" w:hAnsi="Times New Roman" w:cs="Times New Roman"/>
        </w:rPr>
        <w:t xml:space="preserve"> </w:t>
      </w:r>
      <w:r w:rsidRPr="000A18DA">
        <w:rPr>
          <w:rFonts w:ascii="Times New Roman" w:hAnsi="Times New Roman" w:cs="Times New Roman"/>
          <w:lang w:val="en-GB"/>
        </w:rPr>
        <w:t>the Adversary System, and the Voice of Reason: Reconciling Impartiality and Advocacy’ (2003) 34(3)</w:t>
      </w:r>
      <w:r w:rsidRPr="000A18DA">
        <w:rPr>
          <w:rFonts w:ascii="Times New Roman" w:hAnsi="Times New Roman" w:cs="Times New Roman"/>
        </w:rPr>
        <w:t xml:space="preserve"> </w:t>
      </w:r>
      <w:r w:rsidRPr="000A18DA">
        <w:rPr>
          <w:rFonts w:ascii="Times New Roman" w:hAnsi="Times New Roman" w:cs="Times New Roman"/>
          <w:i/>
          <w:iCs/>
          <w:lang w:val="en-GB"/>
        </w:rPr>
        <w:t>Professional Psychology: Research and Practice</w:t>
      </w:r>
      <w:r w:rsidRPr="000A18DA">
        <w:rPr>
          <w:rFonts w:ascii="Times New Roman" w:hAnsi="Times New Roman" w:cs="Times New Roman"/>
          <w:lang w:val="en-GB"/>
        </w:rPr>
        <w:t xml:space="preserve"> 219-224.</w:t>
      </w:r>
    </w:p>
  </w:footnote>
  <w:footnote w:id="5">
    <w:p w14:paraId="025BF345"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t>
      </w:r>
      <w:r w:rsidRPr="000A18DA">
        <w:rPr>
          <w:rFonts w:ascii="Times New Roman" w:hAnsi="Times New Roman" w:cs="Times New Roman"/>
          <w:lang w:val="en-GB"/>
        </w:rPr>
        <w:t xml:space="preserve">Bourdieu Pierre, </w:t>
      </w:r>
      <w:r w:rsidRPr="000A18DA">
        <w:rPr>
          <w:rFonts w:ascii="Times New Roman" w:hAnsi="Times New Roman" w:cs="Times New Roman"/>
          <w:i/>
          <w:iCs/>
          <w:lang w:val="en-GB"/>
        </w:rPr>
        <w:t>The Logic of Practice</w:t>
      </w:r>
      <w:r w:rsidRPr="000A18DA">
        <w:rPr>
          <w:rFonts w:ascii="Times New Roman" w:hAnsi="Times New Roman" w:cs="Times New Roman"/>
          <w:lang w:val="en-GB"/>
        </w:rPr>
        <w:t xml:space="preserve"> (1990, Stanford University Press) 80-98, ‘</w:t>
      </w:r>
      <w:r w:rsidRPr="000A18DA">
        <w:rPr>
          <w:rFonts w:ascii="Times New Roman" w:hAnsi="Times New Roman" w:cs="Times New Roman"/>
          <w:i/>
          <w:iCs/>
          <w:lang w:val="en-GB"/>
        </w:rPr>
        <w:t>Bourdieu’s Field Theory posits that experts operate within the overlapping fields of law and economics, subject to both juridical authority and market incentives hence their divided loyalty and the risk of “adversarial allegiance”.’</w:t>
      </w:r>
    </w:p>
  </w:footnote>
  <w:footnote w:id="6">
    <w:p w14:paraId="1C904016"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t>
      </w:r>
      <w:r w:rsidRPr="000A18DA">
        <w:rPr>
          <w:rFonts w:ascii="Times New Roman" w:hAnsi="Times New Roman" w:cs="Times New Roman"/>
          <w:lang w:val="en-GB"/>
        </w:rPr>
        <w:t xml:space="preserve">Damaska R. Mirjan, </w:t>
      </w:r>
      <w:r w:rsidRPr="000A18DA">
        <w:rPr>
          <w:rFonts w:ascii="Times New Roman" w:hAnsi="Times New Roman" w:cs="Times New Roman"/>
          <w:i/>
          <w:iCs/>
          <w:lang w:val="en-GB"/>
        </w:rPr>
        <w:t>The Faces of Justice and State Authority: A Comparative Approach to the Legal Process</w:t>
      </w:r>
      <w:r w:rsidRPr="000A18DA">
        <w:rPr>
          <w:rFonts w:ascii="Times New Roman" w:hAnsi="Times New Roman" w:cs="Times New Roman"/>
          <w:lang w:val="en-GB"/>
        </w:rPr>
        <w:t xml:space="preserve"> (1986, Yale University Press) 109-178.</w:t>
      </w:r>
    </w:p>
  </w:footnote>
  <w:footnote w:id="7">
    <w:p w14:paraId="64F7514D"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t>
      </w:r>
      <w:r w:rsidRPr="000A18DA">
        <w:rPr>
          <w:rFonts w:ascii="Times New Roman" w:hAnsi="Times New Roman" w:cs="Times New Roman"/>
          <w:lang w:val="en-GB"/>
        </w:rPr>
        <w:t>Poudret Jean-Francois and Sebastien Besson, Comparative Law of International Arbitration (2</w:t>
      </w:r>
      <w:r w:rsidRPr="000A18DA">
        <w:rPr>
          <w:rFonts w:ascii="Times New Roman" w:hAnsi="Times New Roman" w:cs="Times New Roman"/>
          <w:vertAlign w:val="superscript"/>
          <w:lang w:val="en-GB"/>
        </w:rPr>
        <w:t>nd</w:t>
      </w:r>
      <w:r w:rsidRPr="000A18DA">
        <w:rPr>
          <w:rFonts w:ascii="Times New Roman" w:hAnsi="Times New Roman" w:cs="Times New Roman"/>
          <w:lang w:val="en-GB"/>
        </w:rPr>
        <w:t xml:space="preserve"> Ed., Sweet &amp; Maxwell 2007) 450-642.</w:t>
      </w:r>
    </w:p>
  </w:footnote>
  <w:footnote w:id="8">
    <w:p w14:paraId="7EF6E87C"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lang w:val="en-GB"/>
        </w:rPr>
        <w:t xml:space="preserve"> Neal M. S. Tess, Kristy A. Martire, Jennifer L. Johan, et al., ‘The Law Meets Psychological Expertise: Eight Best Practices to Improve Forensic Psychological Assessment’ (2022) 18 </w:t>
      </w:r>
      <w:r w:rsidRPr="000A18DA">
        <w:rPr>
          <w:rFonts w:ascii="Times New Roman" w:hAnsi="Times New Roman" w:cs="Times New Roman"/>
          <w:i/>
          <w:iCs/>
          <w:lang w:val="en-GB"/>
        </w:rPr>
        <w:t>Annual Review of Law and Social Science</w:t>
      </w:r>
      <w:r w:rsidRPr="000A18DA">
        <w:rPr>
          <w:rFonts w:ascii="Times New Roman" w:hAnsi="Times New Roman" w:cs="Times New Roman"/>
          <w:lang w:val="en-GB"/>
        </w:rPr>
        <w:t xml:space="preserve"> 169–92.</w:t>
      </w:r>
    </w:p>
  </w:footnote>
  <w:footnote w:id="9">
    <w:p w14:paraId="6141E45E"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t>
      </w:r>
      <w:r w:rsidRPr="000A18DA">
        <w:rPr>
          <w:rFonts w:ascii="Times New Roman" w:hAnsi="Times New Roman" w:cs="Times New Roman"/>
          <w:lang w:val="en-GB"/>
        </w:rPr>
        <w:t xml:space="preserve">Kahneman Daniel, </w:t>
      </w:r>
      <w:r w:rsidRPr="000A18DA">
        <w:rPr>
          <w:rFonts w:ascii="Times New Roman" w:hAnsi="Times New Roman" w:cs="Times New Roman"/>
          <w:i/>
          <w:iCs/>
          <w:lang w:val="en-GB"/>
        </w:rPr>
        <w:t>Thinking, Fast and Slow</w:t>
      </w:r>
      <w:r w:rsidRPr="000A18DA">
        <w:rPr>
          <w:rFonts w:ascii="Times New Roman" w:hAnsi="Times New Roman" w:cs="Times New Roman"/>
          <w:lang w:val="en-GB"/>
        </w:rPr>
        <w:t xml:space="preserve"> (2011, New York: Farrar, Straus and Giroux) 15-386.</w:t>
      </w:r>
    </w:p>
  </w:footnote>
  <w:footnote w:id="10">
    <w:p w14:paraId="37E2C5C9"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t>
      </w:r>
      <w:r w:rsidRPr="000A18DA">
        <w:rPr>
          <w:rFonts w:ascii="Times New Roman" w:hAnsi="Times New Roman" w:cs="Times New Roman"/>
          <w:lang w:val="en-GB"/>
        </w:rPr>
        <w:t xml:space="preserve">Neal M. S. Tess and Stanley L. Brodsky, ‘Forensic Psychologists’ Perceptions of Bias and Potential Correction Strategies in Forensic Mental Health Evaluations’ (2016) 22(1) </w:t>
      </w:r>
      <w:r w:rsidRPr="000A18DA">
        <w:rPr>
          <w:rFonts w:ascii="Times New Roman" w:hAnsi="Times New Roman" w:cs="Times New Roman"/>
          <w:i/>
          <w:iCs/>
          <w:lang w:val="en-GB"/>
        </w:rPr>
        <w:t>Psychology, Public Policy and Law</w:t>
      </w:r>
      <w:r w:rsidRPr="000A18DA">
        <w:rPr>
          <w:rFonts w:ascii="Times New Roman" w:hAnsi="Times New Roman" w:cs="Times New Roman"/>
          <w:lang w:val="en-GB"/>
        </w:rPr>
        <w:t xml:space="preserve"> 58–76; Koehler J. Jonathan, ‘The Influence of Prior Beliefs on Scientific Judgments of Evidence Quality’ (1993) 56(1) Organizational Behaviour and Human Decision Processes 28-55.</w:t>
      </w:r>
    </w:p>
  </w:footnote>
  <w:footnote w:id="11">
    <w:p w14:paraId="11CA8F7B"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United Nations Commission on International Trade Law (UNCITRAL) Notes on Organizing Arbitral Proceedings 2016 available at </w:t>
      </w:r>
      <w:hyperlink r:id="rId1" w:history="1">
        <w:r w:rsidRPr="000A18DA">
          <w:rPr>
            <w:rStyle w:val="Hyperlink"/>
            <w:rFonts w:ascii="Times New Roman" w:hAnsi="Times New Roman" w:cs="Times New Roman"/>
            <w:color w:val="auto"/>
          </w:rPr>
          <w:t>https://uncitral.un.org/sites/default/files/media-documents/uncitral/en/arb-notes-2016-e.pdf</w:t>
        </w:r>
      </w:hyperlink>
      <w:r w:rsidRPr="000A18DA">
        <w:rPr>
          <w:rFonts w:ascii="Times New Roman" w:hAnsi="Times New Roman" w:cs="Times New Roman"/>
        </w:rPr>
        <w:t xml:space="preserve"> accessed 7 May 2026.</w:t>
      </w:r>
    </w:p>
  </w:footnote>
  <w:footnote w:id="12">
    <w:p w14:paraId="22EF24E5"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Julian D. M. Lew, Loukas A. Mistelis, Stefan Michael Kröll, Stefan Kröll</w:t>
      </w:r>
      <w:r w:rsidRPr="000A18DA">
        <w:rPr>
          <w:rFonts w:ascii="Times New Roman" w:hAnsi="Times New Roman" w:cs="Times New Roman"/>
          <w:lang w:val="en-GB"/>
        </w:rPr>
        <w:t xml:space="preserve">, </w:t>
      </w:r>
      <w:r w:rsidRPr="000A18DA">
        <w:rPr>
          <w:rFonts w:ascii="Times New Roman" w:hAnsi="Times New Roman" w:cs="Times New Roman"/>
          <w:i/>
          <w:iCs/>
          <w:lang w:val="en-GB"/>
        </w:rPr>
        <w:t>Comparative International Commercial Arbitration</w:t>
      </w:r>
      <w:r w:rsidRPr="000A18DA">
        <w:rPr>
          <w:rFonts w:ascii="Times New Roman" w:hAnsi="Times New Roman" w:cs="Times New Roman"/>
          <w:lang w:val="en-GB"/>
        </w:rPr>
        <w:t xml:space="preserve"> (2003, Kluwe Law International) 553-579.</w:t>
      </w:r>
    </w:p>
  </w:footnote>
  <w:footnote w:id="13">
    <w:p w14:paraId="4B673C68"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t>
      </w:r>
      <w:r w:rsidRPr="000A18DA">
        <w:rPr>
          <w:rFonts w:ascii="Times New Roman" w:hAnsi="Times New Roman" w:cs="Times New Roman"/>
          <w:lang w:val="en-GB"/>
        </w:rPr>
        <w:t xml:space="preserve">Catherine A. Rogers, ‘Ethics in International Arbitration’ (2015) 16(4) </w:t>
      </w:r>
      <w:r w:rsidRPr="000A18DA">
        <w:rPr>
          <w:rFonts w:ascii="Times New Roman" w:hAnsi="Times New Roman" w:cs="Times New Roman"/>
          <w:i/>
          <w:iCs/>
          <w:lang w:val="en-GB"/>
        </w:rPr>
        <w:t>The Journal of World Investment &amp; Trade</w:t>
      </w:r>
      <w:r w:rsidRPr="000A18DA">
        <w:rPr>
          <w:rFonts w:ascii="Times New Roman" w:hAnsi="Times New Roman" w:cs="Times New Roman"/>
          <w:lang w:val="en-GB"/>
        </w:rPr>
        <w:t xml:space="preserve"> 751.</w:t>
      </w:r>
    </w:p>
  </w:footnote>
  <w:footnote w:id="14">
    <w:p w14:paraId="52854C1B"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t>
      </w:r>
      <w:r w:rsidRPr="000A18DA">
        <w:rPr>
          <w:rFonts w:ascii="Times New Roman" w:hAnsi="Times New Roman" w:cs="Times New Roman"/>
          <w:lang w:val="en-GB"/>
        </w:rPr>
        <w:t xml:space="preserve">Doug S. Jones, ‘Redefining the Role and Value of Expert Evidence’ (2023) </w:t>
      </w:r>
      <w:r w:rsidRPr="000A18DA">
        <w:rPr>
          <w:rFonts w:ascii="Times New Roman" w:hAnsi="Times New Roman" w:cs="Times New Roman"/>
          <w:i/>
          <w:iCs/>
          <w:lang w:val="en-GB"/>
        </w:rPr>
        <w:t>ICC Institute Dossiers XX</w:t>
      </w:r>
      <w:r w:rsidRPr="000A18DA">
        <w:rPr>
          <w:rFonts w:ascii="Times New Roman" w:hAnsi="Times New Roman" w:cs="Times New Roman"/>
          <w:lang w:val="en-GB"/>
        </w:rPr>
        <w:t xml:space="preserve"> 142.</w:t>
      </w:r>
    </w:p>
  </w:footnote>
  <w:footnote w:id="15">
    <w:p w14:paraId="5EC577FB"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lang w:val="en-GB"/>
        </w:rPr>
        <w:t>Antonio Rigozzi and Gabrielle Kaufmann-Kohler, International Arbitration: Law and Practice in Switzerland (2015, Oxford University Press) 274-348.</w:t>
      </w:r>
    </w:p>
  </w:footnote>
  <w:footnote w:id="16">
    <w:p w14:paraId="5898BFA9"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Part 35 - Experts and Assessors, Practice Direction Civil Procedure Rules (England and Wales) 1998 available at </w:t>
      </w:r>
      <w:hyperlink r:id="rId2" w:history="1">
        <w:r w:rsidRPr="000A18DA">
          <w:rPr>
            <w:rStyle w:val="Hyperlink"/>
            <w:rFonts w:ascii="Times New Roman" w:hAnsi="Times New Roman" w:cs="Times New Roman"/>
            <w:color w:val="auto"/>
          </w:rPr>
          <w:t>https://www.justice.gov.uk/courts/procedure-rules/civil</w:t>
        </w:r>
      </w:hyperlink>
      <w:r w:rsidRPr="000A18DA">
        <w:rPr>
          <w:rFonts w:ascii="Times New Roman" w:hAnsi="Times New Roman" w:cs="Times New Roman"/>
        </w:rPr>
        <w:t xml:space="preserve"> accessed 7 May 2026.</w:t>
      </w:r>
    </w:p>
  </w:footnote>
  <w:footnote w:id="17">
    <w:p w14:paraId="76FD8A50"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Sections 20–22 Arbitration and Mediation Act (AMA) 2023.</w:t>
      </w:r>
    </w:p>
  </w:footnote>
  <w:footnote w:id="18">
    <w:p w14:paraId="77B009AF"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Lagos Court of Arbitration availabe at </w:t>
      </w:r>
      <w:hyperlink r:id="rId3" w:history="1">
        <w:r w:rsidRPr="000A18DA">
          <w:rPr>
            <w:rStyle w:val="Hyperlink"/>
            <w:rFonts w:ascii="Times New Roman" w:hAnsi="Times New Roman" w:cs="Times New Roman"/>
            <w:color w:val="auto"/>
          </w:rPr>
          <w:t>https://lagosarbitration.org</w:t>
        </w:r>
      </w:hyperlink>
      <w:r w:rsidRPr="000A18DA">
        <w:rPr>
          <w:rFonts w:ascii="Times New Roman" w:hAnsi="Times New Roman" w:cs="Times New Roman"/>
        </w:rPr>
        <w:t xml:space="preserve"> accessed 7 May 2026.</w:t>
      </w:r>
    </w:p>
  </w:footnote>
  <w:footnote w:id="19">
    <w:p w14:paraId="37706AB2"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Kigali International Arbitration Centre available at </w:t>
      </w:r>
      <w:hyperlink r:id="rId4" w:history="1">
        <w:r w:rsidRPr="000A18DA">
          <w:rPr>
            <w:rStyle w:val="Hyperlink"/>
            <w:rFonts w:ascii="Times New Roman" w:hAnsi="Times New Roman" w:cs="Times New Roman"/>
            <w:color w:val="auto"/>
          </w:rPr>
          <w:t>https://kiac.org.rw</w:t>
        </w:r>
      </w:hyperlink>
      <w:r w:rsidRPr="000A18DA">
        <w:rPr>
          <w:rFonts w:ascii="Times New Roman" w:hAnsi="Times New Roman" w:cs="Times New Roman"/>
        </w:rPr>
        <w:t xml:space="preserve"> accessed 7 May 2026.</w:t>
      </w:r>
    </w:p>
  </w:footnote>
  <w:footnote w:id="20">
    <w:p w14:paraId="6EBA0CB2"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t>
      </w:r>
      <w:r w:rsidRPr="000A18DA">
        <w:rPr>
          <w:rFonts w:ascii="Times New Roman" w:hAnsi="Times New Roman" w:cs="Times New Roman"/>
          <w:lang w:val="en-GB"/>
        </w:rPr>
        <w:t>ICSID Case No. ARB/08/6.</w:t>
      </w:r>
    </w:p>
  </w:footnote>
  <w:footnote w:id="21">
    <w:p w14:paraId="7286074A" w14:textId="5BC63043"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ICSID Case No. ARB/12/1.</w:t>
      </w:r>
    </w:p>
  </w:footnote>
  <w:footnote w:id="22">
    <w:p w14:paraId="1AD2A130"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Singapore International Arbitration Centre available at </w:t>
      </w:r>
      <w:hyperlink r:id="rId5" w:history="1">
        <w:r w:rsidRPr="000A18DA">
          <w:rPr>
            <w:rStyle w:val="Hyperlink"/>
            <w:rFonts w:ascii="Times New Roman" w:hAnsi="Times New Roman" w:cs="Times New Roman"/>
            <w:color w:val="auto"/>
          </w:rPr>
          <w:t>https://www.siac.org.sg</w:t>
        </w:r>
      </w:hyperlink>
      <w:r w:rsidRPr="000A18DA">
        <w:rPr>
          <w:rFonts w:ascii="Times New Roman" w:hAnsi="Times New Roman" w:cs="Times New Roman"/>
        </w:rPr>
        <w:t xml:space="preserve"> accessed 7 May 2026.</w:t>
      </w:r>
    </w:p>
  </w:footnote>
  <w:footnote w:id="23">
    <w:p w14:paraId="1D7E794B"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Hong Kong International Arbitration Centre available at </w:t>
      </w:r>
      <w:hyperlink r:id="rId6" w:history="1">
        <w:r w:rsidRPr="000A18DA">
          <w:rPr>
            <w:rStyle w:val="Hyperlink"/>
            <w:rFonts w:ascii="Times New Roman" w:hAnsi="Times New Roman" w:cs="Times New Roman"/>
            <w:color w:val="auto"/>
          </w:rPr>
          <w:t>https://www.hkiac.org</w:t>
        </w:r>
      </w:hyperlink>
      <w:r w:rsidRPr="000A18DA">
        <w:rPr>
          <w:rFonts w:ascii="Times New Roman" w:hAnsi="Times New Roman" w:cs="Times New Roman"/>
        </w:rPr>
        <w:t xml:space="preserve"> accessed 7 May 2026.</w:t>
      </w:r>
    </w:p>
  </w:footnote>
  <w:footnote w:id="24">
    <w:p w14:paraId="17FFF755" w14:textId="1385E98E" w:rsidR="001848E1" w:rsidRPr="000A18DA" w:rsidRDefault="001848E1" w:rsidP="001848E1">
      <w:pPr>
        <w:spacing w:after="0" w:line="240" w:lineRule="auto"/>
        <w:jc w:val="both"/>
        <w:rPr>
          <w:rFonts w:ascii="Times New Roman" w:hAnsi="Times New Roman" w:cs="Times New Roman"/>
          <w:sz w:val="20"/>
          <w:szCs w:val="20"/>
          <w:lang w:val="en-GB"/>
        </w:rPr>
      </w:pPr>
      <w:r w:rsidRPr="000A18DA">
        <w:rPr>
          <w:rStyle w:val="FootnoteReference"/>
          <w:rFonts w:ascii="Times New Roman" w:hAnsi="Times New Roman" w:cs="Times New Roman"/>
          <w:sz w:val="20"/>
          <w:szCs w:val="20"/>
        </w:rPr>
        <w:footnoteRef/>
      </w:r>
      <w:r w:rsidRPr="000A18DA">
        <w:rPr>
          <w:rFonts w:ascii="Times New Roman" w:hAnsi="Times New Roman" w:cs="Times New Roman"/>
          <w:sz w:val="20"/>
          <w:szCs w:val="20"/>
        </w:rPr>
        <w:t xml:space="preserve"> </w:t>
      </w:r>
      <w:r w:rsidRPr="000A18DA">
        <w:rPr>
          <w:rFonts w:ascii="Times New Roman" w:hAnsi="Times New Roman" w:cs="Times New Roman"/>
          <w:sz w:val="20"/>
          <w:szCs w:val="20"/>
          <w:lang w:val="en-GB"/>
        </w:rPr>
        <w:t xml:space="preserve">Juan G. Moure, Felipe J. Acosta and Isabella Herrera, ‘Cartels in Colombia’ (2018) </w:t>
      </w:r>
      <w:r w:rsidRPr="000A18DA">
        <w:rPr>
          <w:rFonts w:ascii="Times New Roman" w:hAnsi="Times New Roman" w:cs="Times New Roman"/>
          <w:i/>
          <w:iCs/>
          <w:sz w:val="20"/>
          <w:szCs w:val="20"/>
          <w:lang w:val="en-GB"/>
        </w:rPr>
        <w:t>Olarte</w:t>
      </w:r>
      <w:r w:rsidR="00623F60">
        <w:rPr>
          <w:rFonts w:ascii="Times New Roman" w:hAnsi="Times New Roman" w:cs="Times New Roman"/>
          <w:i/>
          <w:iCs/>
          <w:sz w:val="20"/>
          <w:szCs w:val="20"/>
          <w:lang w:val="en-GB"/>
        </w:rPr>
        <w:t xml:space="preserve"> </w:t>
      </w:r>
      <w:r w:rsidRPr="000A18DA">
        <w:rPr>
          <w:rFonts w:ascii="Times New Roman" w:hAnsi="Times New Roman" w:cs="Times New Roman"/>
          <w:i/>
          <w:iCs/>
          <w:sz w:val="20"/>
          <w:szCs w:val="20"/>
          <w:lang w:val="en-GB"/>
        </w:rPr>
        <w:t xml:space="preserve">Moure </w:t>
      </w:r>
      <w:r w:rsidRPr="000A18DA">
        <w:rPr>
          <w:rFonts w:ascii="Times New Roman" w:hAnsi="Times New Roman" w:cs="Times New Roman"/>
          <w:sz w:val="20"/>
          <w:szCs w:val="20"/>
          <w:lang w:val="en-GB"/>
        </w:rPr>
        <w:t xml:space="preserve">available at </w:t>
      </w:r>
      <w:hyperlink r:id="rId7" w:history="1">
        <w:r w:rsidRPr="000A18DA">
          <w:rPr>
            <w:rStyle w:val="Hyperlink"/>
            <w:rFonts w:ascii="Times New Roman" w:hAnsi="Times New Roman" w:cs="Times New Roman"/>
            <w:color w:val="auto"/>
            <w:sz w:val="20"/>
            <w:szCs w:val="20"/>
            <w:lang w:val="en-GB"/>
          </w:rPr>
          <w:t>https://www.lexology.com/library/detail.aspx?g=5bfa5f51-017b-4c1e-aa37-df1b40b86bc7</w:t>
        </w:r>
      </w:hyperlink>
      <w:r w:rsidRPr="000A18DA">
        <w:rPr>
          <w:rFonts w:ascii="Times New Roman" w:hAnsi="Times New Roman" w:cs="Times New Roman"/>
          <w:sz w:val="20"/>
          <w:szCs w:val="20"/>
          <w:lang w:val="en-GB"/>
        </w:rPr>
        <w:t xml:space="preserve"> accessed 7 May 2026.</w:t>
      </w:r>
    </w:p>
  </w:footnote>
  <w:footnote w:id="25">
    <w:p w14:paraId="51C03D7D"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t>
      </w:r>
      <w:r w:rsidRPr="000A18DA">
        <w:rPr>
          <w:rFonts w:ascii="Times New Roman" w:hAnsi="Times New Roman" w:cs="Times New Roman"/>
          <w:lang w:val="en-GB"/>
        </w:rPr>
        <w:t>Marco Tulio Venegas Cruz, ‘Why arbitration is a smart choice in Latin America’s evolving legal landscape’ (The Guide to Arbitration in Latin America - 4</w:t>
      </w:r>
      <w:r w:rsidRPr="000A18DA">
        <w:rPr>
          <w:rFonts w:ascii="Times New Roman" w:hAnsi="Times New Roman" w:cs="Times New Roman"/>
          <w:vertAlign w:val="superscript"/>
          <w:lang w:val="en-GB"/>
        </w:rPr>
        <w:t>th</w:t>
      </w:r>
      <w:r w:rsidRPr="000A18DA">
        <w:rPr>
          <w:rFonts w:ascii="Times New Roman" w:hAnsi="Times New Roman" w:cs="Times New Roman"/>
          <w:lang w:val="en-GB"/>
        </w:rPr>
        <w:t xml:space="preserve"> Ed., 2025) Global Arbitration Review (GAR) 3-11.</w:t>
      </w:r>
    </w:p>
  </w:footnote>
  <w:footnote w:id="26">
    <w:p w14:paraId="5703B46F" w14:textId="77777777" w:rsidR="001848E1" w:rsidRPr="000A18DA" w:rsidRDefault="001848E1" w:rsidP="001848E1">
      <w:pPr>
        <w:spacing w:after="0" w:line="240" w:lineRule="auto"/>
        <w:jc w:val="both"/>
        <w:rPr>
          <w:rFonts w:ascii="Times New Roman" w:hAnsi="Times New Roman" w:cs="Times New Roman"/>
          <w:sz w:val="20"/>
          <w:szCs w:val="20"/>
          <w:lang w:val="en-GB"/>
        </w:rPr>
      </w:pPr>
      <w:r w:rsidRPr="000A18DA">
        <w:rPr>
          <w:rStyle w:val="FootnoteReference"/>
          <w:rFonts w:ascii="Times New Roman" w:hAnsi="Times New Roman" w:cs="Times New Roman"/>
          <w:sz w:val="20"/>
          <w:szCs w:val="20"/>
        </w:rPr>
        <w:footnoteRef/>
      </w:r>
      <w:r w:rsidRPr="000A18DA">
        <w:rPr>
          <w:rFonts w:ascii="Times New Roman" w:hAnsi="Times New Roman" w:cs="Times New Roman"/>
          <w:sz w:val="20"/>
          <w:szCs w:val="20"/>
        </w:rPr>
        <w:t xml:space="preserve"> </w:t>
      </w:r>
      <w:r w:rsidRPr="000A18DA">
        <w:rPr>
          <w:rFonts w:ascii="Times New Roman" w:hAnsi="Times New Roman" w:cs="Times New Roman"/>
          <w:sz w:val="20"/>
          <w:szCs w:val="20"/>
          <w:lang w:val="en-GB"/>
        </w:rPr>
        <w:t xml:space="preserve">Cass R. Sunstein, Lucia A. Reisch and Julius Rauber, ‘A World-Wide Consensus on Nudging? Not Quite, But Almost’ (2017) </w:t>
      </w:r>
      <w:r w:rsidRPr="000A18DA">
        <w:rPr>
          <w:rFonts w:ascii="Times New Roman" w:hAnsi="Times New Roman" w:cs="Times New Roman"/>
          <w:i/>
          <w:iCs/>
          <w:sz w:val="20"/>
          <w:szCs w:val="20"/>
          <w:lang w:val="en-GB"/>
        </w:rPr>
        <w:t>Harvard John M. Olin Discussion Paper Series</w:t>
      </w:r>
      <w:r w:rsidRPr="000A18DA">
        <w:rPr>
          <w:rFonts w:ascii="Times New Roman" w:hAnsi="Times New Roman" w:cs="Times New Roman"/>
          <w:sz w:val="20"/>
          <w:szCs w:val="20"/>
          <w:lang w:val="en-GB"/>
        </w:rPr>
        <w:t xml:space="preserve"> 1-20; Christopher Tarver Robertson, ‘Blind Expertise’ (2010) 85:174 </w:t>
      </w:r>
      <w:r w:rsidRPr="000A18DA">
        <w:rPr>
          <w:rFonts w:ascii="Times New Roman" w:hAnsi="Times New Roman" w:cs="Times New Roman"/>
          <w:i/>
          <w:iCs/>
          <w:sz w:val="20"/>
          <w:szCs w:val="20"/>
          <w:lang w:val="en-GB"/>
        </w:rPr>
        <w:t>New York University Law Review</w:t>
      </w:r>
      <w:r w:rsidRPr="000A18DA">
        <w:rPr>
          <w:rFonts w:ascii="Times New Roman" w:hAnsi="Times New Roman" w:cs="Times New Roman"/>
          <w:sz w:val="20"/>
          <w:szCs w:val="20"/>
          <w:lang w:val="en-GB"/>
        </w:rPr>
        <w:t xml:space="preserve"> 174-257.</w:t>
      </w:r>
    </w:p>
  </w:footnote>
  <w:footnote w:id="27">
    <w:p w14:paraId="442DDFDD" w14:textId="77777777" w:rsidR="001848E1" w:rsidRPr="000A18DA" w:rsidRDefault="001848E1" w:rsidP="001848E1">
      <w:pPr>
        <w:spacing w:after="0" w:line="240" w:lineRule="auto"/>
        <w:jc w:val="both"/>
        <w:rPr>
          <w:rFonts w:ascii="Times New Roman" w:hAnsi="Times New Roman" w:cs="Times New Roman"/>
          <w:sz w:val="20"/>
          <w:szCs w:val="20"/>
          <w:lang w:val="en-GB"/>
        </w:rPr>
      </w:pPr>
      <w:r w:rsidRPr="000A18DA">
        <w:rPr>
          <w:rStyle w:val="FootnoteReference"/>
          <w:rFonts w:ascii="Times New Roman" w:hAnsi="Times New Roman" w:cs="Times New Roman"/>
          <w:sz w:val="20"/>
          <w:szCs w:val="20"/>
        </w:rPr>
        <w:footnoteRef/>
      </w:r>
      <w:r w:rsidRPr="000A18DA">
        <w:rPr>
          <w:rFonts w:ascii="Times New Roman" w:hAnsi="Times New Roman" w:cs="Times New Roman"/>
          <w:sz w:val="20"/>
          <w:szCs w:val="20"/>
        </w:rPr>
        <w:t xml:space="preserve"> </w:t>
      </w:r>
      <w:r w:rsidRPr="000A18DA">
        <w:rPr>
          <w:rFonts w:ascii="Times New Roman" w:hAnsi="Times New Roman" w:cs="Times New Roman"/>
          <w:sz w:val="20"/>
          <w:szCs w:val="20"/>
          <w:lang w:val="en-GB"/>
        </w:rPr>
        <w:t xml:space="preserve">Sophie Nappert, ‘International Arbitration as a Tool of Global Governance: The Use (and Abuse) of Discretion’ (2017) </w:t>
      </w:r>
      <w:r w:rsidRPr="000A18DA">
        <w:rPr>
          <w:rFonts w:ascii="Times New Roman" w:hAnsi="Times New Roman" w:cs="Times New Roman"/>
          <w:i/>
          <w:iCs/>
          <w:sz w:val="20"/>
          <w:szCs w:val="20"/>
          <w:lang w:val="en-GB"/>
        </w:rPr>
        <w:t>Oxford Handbook on International Governance, Forthcoming</w:t>
      </w:r>
      <w:r w:rsidRPr="000A18DA">
        <w:rPr>
          <w:rFonts w:ascii="Times New Roman" w:hAnsi="Times New Roman" w:cs="Times New Roman"/>
          <w:sz w:val="20"/>
          <w:szCs w:val="20"/>
          <w:lang w:val="en-GB"/>
        </w:rPr>
        <w:t xml:space="preserve"> 1-24; David Earnest, Raul Gallardo, Garðar Víðir Gunnarsson and Tobiasz Kaczor, ‘Four Ways to Sharpen the Sword of Efficiency in International Arbitration’ (2012) Young ICCA Group Paper 1-30; Puig Sergio, ‘Social Capital in the Arbitration Market’ (2013) 25(2) </w:t>
      </w:r>
      <w:r w:rsidRPr="000A18DA">
        <w:rPr>
          <w:rFonts w:ascii="Times New Roman" w:hAnsi="Times New Roman" w:cs="Times New Roman"/>
          <w:i/>
          <w:iCs/>
          <w:sz w:val="20"/>
          <w:szCs w:val="20"/>
          <w:lang w:val="en-GB"/>
        </w:rPr>
        <w:t>European Journal of International Law</w:t>
      </w:r>
      <w:r w:rsidRPr="000A18DA">
        <w:rPr>
          <w:rFonts w:ascii="Times New Roman" w:hAnsi="Times New Roman" w:cs="Times New Roman"/>
          <w:sz w:val="20"/>
          <w:szCs w:val="20"/>
          <w:lang w:val="en-GB"/>
        </w:rPr>
        <w:t xml:space="preserve"> 18.</w:t>
      </w:r>
    </w:p>
  </w:footnote>
  <w:footnote w:id="28">
    <w:p w14:paraId="2EF1FD73"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t>
      </w:r>
      <w:r w:rsidRPr="000A18DA">
        <w:rPr>
          <w:rFonts w:ascii="Times New Roman" w:hAnsi="Times New Roman" w:cs="Times New Roman"/>
          <w:i/>
          <w:iCs/>
          <w:lang w:val="en-GB"/>
        </w:rPr>
        <w:t>Daubert v Merrell Dow Pharmaceuticals, Inc.,</w:t>
      </w:r>
      <w:r w:rsidRPr="000A18DA">
        <w:rPr>
          <w:rFonts w:ascii="Times New Roman" w:hAnsi="Times New Roman" w:cs="Times New Roman"/>
          <w:lang w:val="en-GB"/>
        </w:rPr>
        <w:t xml:space="preserve"> 509 U.S. 579 (1993).</w:t>
      </w:r>
    </w:p>
  </w:footnote>
  <w:footnote w:id="29">
    <w:p w14:paraId="1494E84A"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t>
      </w:r>
      <w:r w:rsidRPr="000A18DA">
        <w:rPr>
          <w:rFonts w:ascii="Times New Roman" w:hAnsi="Times New Roman" w:cs="Times New Roman"/>
          <w:lang w:val="en-GB"/>
        </w:rPr>
        <w:t>UNCITRAL Partial Award (Nov. 13, 2000).</w:t>
      </w:r>
    </w:p>
  </w:footnote>
  <w:footnote w:id="30">
    <w:p w14:paraId="2FA02B9C"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ICSID Case No. ARB/13/13.</w:t>
      </w:r>
    </w:p>
  </w:footnote>
  <w:footnote w:id="31">
    <w:p w14:paraId="2EB5D983"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Part 35 Civil Procedure Rules (CPR England and Wales) 1998.</w:t>
      </w:r>
    </w:p>
  </w:footnote>
  <w:footnote w:id="32">
    <w:p w14:paraId="11664844"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t>
      </w:r>
      <w:r w:rsidRPr="000A18DA">
        <w:rPr>
          <w:rFonts w:ascii="Times New Roman" w:hAnsi="Times New Roman" w:cs="Times New Roman"/>
          <w:lang w:val="en-GB"/>
        </w:rPr>
        <w:t>2011) 243 CLR 588.</w:t>
      </w:r>
    </w:p>
  </w:footnote>
  <w:footnote w:id="33">
    <w:p w14:paraId="1BEF0BBB"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t>
      </w:r>
      <w:r w:rsidRPr="000A18DA">
        <w:rPr>
          <w:rFonts w:ascii="Times New Roman" w:hAnsi="Times New Roman" w:cs="Times New Roman"/>
          <w:lang w:val="en-GB"/>
        </w:rPr>
        <w:t>Catherine A. Rogers [n11] at 4.</w:t>
      </w:r>
    </w:p>
  </w:footnote>
  <w:footnote w:id="34">
    <w:p w14:paraId="3CA1D329"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Expert Witness Institute available at </w:t>
      </w:r>
      <w:hyperlink r:id="rId8" w:history="1">
        <w:r w:rsidRPr="000A18DA">
          <w:rPr>
            <w:rStyle w:val="Hyperlink"/>
            <w:rFonts w:ascii="Times New Roman" w:hAnsi="Times New Roman" w:cs="Times New Roman"/>
            <w:color w:val="auto"/>
          </w:rPr>
          <w:t>https://www.ewi.org.uk</w:t>
        </w:r>
      </w:hyperlink>
      <w:r w:rsidRPr="000A18DA">
        <w:rPr>
          <w:rFonts w:ascii="Times New Roman" w:hAnsi="Times New Roman" w:cs="Times New Roman"/>
        </w:rPr>
        <w:t xml:space="preserve"> accessed 7 May 2026.</w:t>
      </w:r>
    </w:p>
  </w:footnote>
  <w:footnote w:id="35">
    <w:p w14:paraId="272E97A6"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The Academy of Experts available at </w:t>
      </w:r>
      <w:hyperlink r:id="rId9" w:history="1">
        <w:r w:rsidRPr="000A18DA">
          <w:rPr>
            <w:rStyle w:val="Hyperlink"/>
            <w:rFonts w:ascii="Times New Roman" w:hAnsi="Times New Roman" w:cs="Times New Roman"/>
            <w:color w:val="auto"/>
          </w:rPr>
          <w:t>https://academyofexperts.org/</w:t>
        </w:r>
      </w:hyperlink>
      <w:r w:rsidRPr="000A18DA">
        <w:rPr>
          <w:rFonts w:ascii="Times New Roman" w:hAnsi="Times New Roman" w:cs="Times New Roman"/>
        </w:rPr>
        <w:t xml:space="preserve"> accessed 7 May 2026.</w:t>
      </w:r>
    </w:p>
  </w:footnote>
  <w:footnote w:id="36">
    <w:p w14:paraId="417C8748"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World Intellectual Property Organization available at </w:t>
      </w:r>
      <w:hyperlink r:id="rId10" w:history="1">
        <w:r w:rsidRPr="000A18DA">
          <w:rPr>
            <w:rStyle w:val="Hyperlink"/>
            <w:rFonts w:ascii="Times New Roman" w:hAnsi="Times New Roman" w:cs="Times New Roman"/>
            <w:color w:val="auto"/>
          </w:rPr>
          <w:t>https://www.wipo.int</w:t>
        </w:r>
      </w:hyperlink>
      <w:r w:rsidRPr="000A18DA">
        <w:rPr>
          <w:rFonts w:ascii="Times New Roman" w:hAnsi="Times New Roman" w:cs="Times New Roman"/>
        </w:rPr>
        <w:t xml:space="preserve"> accessed 7 May 2026.</w:t>
      </w:r>
    </w:p>
  </w:footnote>
  <w:footnote w:id="37">
    <w:p w14:paraId="615EB609"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International Council for Commercial Arbitration available at </w:t>
      </w:r>
      <w:hyperlink r:id="rId11" w:history="1">
        <w:r w:rsidRPr="000A18DA">
          <w:rPr>
            <w:rStyle w:val="Hyperlink"/>
            <w:rFonts w:ascii="Times New Roman" w:hAnsi="Times New Roman" w:cs="Times New Roman"/>
            <w:color w:val="auto"/>
          </w:rPr>
          <w:t>https://www.arbitration-icca.org</w:t>
        </w:r>
      </w:hyperlink>
      <w:r w:rsidRPr="000A18DA">
        <w:rPr>
          <w:rFonts w:ascii="Times New Roman" w:hAnsi="Times New Roman" w:cs="Times New Roman"/>
        </w:rPr>
        <w:t xml:space="preserve"> accessed 7 May 2026.</w:t>
      </w:r>
    </w:p>
  </w:footnote>
  <w:footnote w:id="38">
    <w:p w14:paraId="097A7228"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Arbitration Institute of the Stockholm Chamber of Commerce (SCC) at </w:t>
      </w:r>
      <w:hyperlink r:id="rId12" w:history="1">
        <w:r w:rsidRPr="000A18DA">
          <w:rPr>
            <w:rStyle w:val="Hyperlink"/>
            <w:rFonts w:ascii="Times New Roman" w:hAnsi="Times New Roman" w:cs="Times New Roman"/>
            <w:color w:val="auto"/>
          </w:rPr>
          <w:t>https://sccarbitrationinstitute.se/en/</w:t>
        </w:r>
      </w:hyperlink>
      <w:r w:rsidRPr="000A18DA">
        <w:rPr>
          <w:rFonts w:ascii="Times New Roman" w:hAnsi="Times New Roman" w:cs="Times New Roman"/>
        </w:rPr>
        <w:t xml:space="preserve"> accessed 7 May 2026.</w:t>
      </w:r>
    </w:p>
  </w:footnote>
  <w:footnote w:id="39">
    <w:p w14:paraId="397A17D0"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International Federation of Consulting Engineers available at </w:t>
      </w:r>
      <w:hyperlink r:id="rId13" w:history="1">
        <w:r w:rsidRPr="000A18DA">
          <w:rPr>
            <w:rStyle w:val="Hyperlink"/>
            <w:rFonts w:ascii="Times New Roman" w:hAnsi="Times New Roman" w:cs="Times New Roman"/>
            <w:color w:val="auto"/>
          </w:rPr>
          <w:t>https://fidic.org/</w:t>
        </w:r>
      </w:hyperlink>
      <w:r w:rsidRPr="000A18DA">
        <w:rPr>
          <w:rFonts w:ascii="Times New Roman" w:hAnsi="Times New Roman" w:cs="Times New Roman"/>
        </w:rPr>
        <w:t xml:space="preserve"> accesssed 7 May 2026.</w:t>
      </w:r>
    </w:p>
  </w:footnote>
  <w:footnote w:id="40">
    <w:p w14:paraId="1BF051A5"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Recommendation on the Ethics of Artificial Intelligence adopted November 2021 (actual document, revised or applied in 2023 discussions) available at </w:t>
      </w:r>
      <w:hyperlink r:id="rId14" w:history="1">
        <w:r w:rsidRPr="000A18DA">
          <w:rPr>
            <w:rStyle w:val="Hyperlink"/>
            <w:rFonts w:ascii="Times New Roman" w:hAnsi="Times New Roman" w:cs="Times New Roman"/>
            <w:color w:val="auto"/>
          </w:rPr>
          <w:t>https://unesdoc.unesco.org/ark:/48223/pf0000381137</w:t>
        </w:r>
      </w:hyperlink>
      <w:r w:rsidRPr="000A18DA">
        <w:rPr>
          <w:rFonts w:ascii="Times New Roman" w:hAnsi="Times New Roman" w:cs="Times New Roman"/>
        </w:rPr>
        <w:t xml:space="preserve"> accessed 7 May 2026.</w:t>
      </w:r>
    </w:p>
  </w:footnote>
  <w:footnote w:id="41">
    <w:p w14:paraId="6D78DA91"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t>
      </w:r>
      <w:r w:rsidRPr="000A18DA">
        <w:rPr>
          <w:rFonts w:ascii="Times New Roman" w:hAnsi="Times New Roman" w:cs="Times New Roman"/>
          <w:lang w:val="en-GB"/>
        </w:rPr>
        <w:t xml:space="preserve">Surden Harry, ‘Artificial Intelligence and Law: An Overview’ (2019) 35(4) </w:t>
      </w:r>
      <w:r w:rsidRPr="000A18DA">
        <w:rPr>
          <w:rFonts w:ascii="Times New Roman" w:hAnsi="Times New Roman" w:cs="Times New Roman"/>
          <w:i/>
          <w:iCs/>
          <w:lang w:val="en-GB"/>
        </w:rPr>
        <w:t>Georgia State University Law Review</w:t>
      </w:r>
      <w:r w:rsidRPr="000A18DA">
        <w:rPr>
          <w:rFonts w:ascii="Times New Roman" w:hAnsi="Times New Roman" w:cs="Times New Roman"/>
          <w:lang w:val="en-GB"/>
        </w:rPr>
        <w:t xml:space="preserve"> 1305.</w:t>
      </w:r>
    </w:p>
  </w:footnote>
  <w:footnote w:id="42">
    <w:p w14:paraId="5065CC49"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International Centre for Settlement of Investment Disputes available  at </w:t>
      </w:r>
      <w:hyperlink r:id="rId15" w:history="1">
        <w:r w:rsidRPr="000A18DA">
          <w:rPr>
            <w:rStyle w:val="Hyperlink"/>
            <w:rFonts w:ascii="Times New Roman" w:hAnsi="Times New Roman" w:cs="Times New Roman"/>
            <w:color w:val="auto"/>
          </w:rPr>
          <w:t>https://icsid.worldbank.org</w:t>
        </w:r>
      </w:hyperlink>
      <w:r w:rsidRPr="000A18DA">
        <w:rPr>
          <w:rFonts w:ascii="Times New Roman" w:hAnsi="Times New Roman" w:cs="Times New Roman"/>
        </w:rPr>
        <w:t xml:space="preserve"> accessed 7 May 2026.</w:t>
      </w:r>
    </w:p>
  </w:footnote>
  <w:footnote w:id="43">
    <w:p w14:paraId="6C5ADDAA"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Singapore International Arbitration Centre available at </w:t>
      </w:r>
      <w:hyperlink r:id="rId16" w:history="1">
        <w:r w:rsidRPr="000A18DA">
          <w:rPr>
            <w:rStyle w:val="Hyperlink"/>
            <w:rFonts w:ascii="Times New Roman" w:hAnsi="Times New Roman" w:cs="Times New Roman"/>
            <w:color w:val="auto"/>
          </w:rPr>
          <w:t>https://siac.org.sg/</w:t>
        </w:r>
      </w:hyperlink>
      <w:r w:rsidRPr="000A18DA">
        <w:rPr>
          <w:rFonts w:ascii="Times New Roman" w:hAnsi="Times New Roman" w:cs="Times New Roman"/>
        </w:rPr>
        <w:t xml:space="preserve"> accessed 7 May 2026.</w:t>
      </w:r>
    </w:p>
  </w:footnote>
  <w:footnote w:id="44">
    <w:p w14:paraId="74F6B818"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w:t>
      </w:r>
      <w:r w:rsidRPr="000A18DA">
        <w:rPr>
          <w:rFonts w:ascii="Times New Roman" w:hAnsi="Times New Roman" w:cs="Times New Roman"/>
          <w:lang w:val="en-GB"/>
        </w:rPr>
        <w:t>ICSID Case No. ARB/12/1.</w:t>
      </w:r>
    </w:p>
  </w:footnote>
  <w:footnote w:id="45">
    <w:p w14:paraId="03BF8154" w14:textId="77777777" w:rsidR="001848E1" w:rsidRPr="000A18DA" w:rsidRDefault="001848E1" w:rsidP="001848E1">
      <w:pPr>
        <w:pStyle w:val="FootnoteText"/>
        <w:jc w:val="both"/>
        <w:rPr>
          <w:rFonts w:ascii="Times New Roman" w:hAnsi="Times New Roman" w:cs="Times New Roman"/>
          <w:lang w:val="en-GB"/>
        </w:rPr>
      </w:pPr>
      <w:r w:rsidRPr="000A18DA">
        <w:rPr>
          <w:rStyle w:val="FootnoteReference"/>
          <w:rFonts w:ascii="Times New Roman" w:hAnsi="Times New Roman" w:cs="Times New Roman"/>
        </w:rPr>
        <w:footnoteRef/>
      </w:r>
      <w:r w:rsidRPr="000A18DA">
        <w:rPr>
          <w:rFonts w:ascii="Times New Roman" w:hAnsi="Times New Roman" w:cs="Times New Roman"/>
        </w:rPr>
        <w:t xml:space="preserve"> International Institute for the Unification of Private Law &amp; American Law Institute (ALI) available at </w:t>
      </w:r>
      <w:hyperlink r:id="rId17" w:history="1">
        <w:r w:rsidRPr="000A18DA">
          <w:rPr>
            <w:rStyle w:val="Hyperlink"/>
            <w:rFonts w:ascii="Times New Roman" w:hAnsi="Times New Roman" w:cs="Times New Roman"/>
            <w:color w:val="auto"/>
          </w:rPr>
          <w:t>https://www.unidroit.org</w:t>
        </w:r>
      </w:hyperlink>
      <w:r w:rsidRPr="000A18DA">
        <w:rPr>
          <w:rFonts w:ascii="Times New Roman" w:hAnsi="Times New Roman" w:cs="Times New Roman"/>
        </w:rPr>
        <w:t xml:space="preserve"> accessed 7 May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314C" w14:textId="1FE27533" w:rsidR="00E70376" w:rsidRPr="00E70376" w:rsidRDefault="00E70376">
    <w:pPr>
      <w:pStyle w:val="Header"/>
      <w:rPr>
        <w:rFonts w:ascii="Times New Roman" w:hAnsi="Times New Roman" w:cs="Times New Roman"/>
        <w:sz w:val="20"/>
        <w:szCs w:val="20"/>
      </w:rPr>
    </w:pPr>
    <w:r>
      <w:rPr>
        <w:rFonts w:ascii="Times New Roman" w:hAnsi="Times New Roman" w:cs="Times New Roman"/>
        <w:sz w:val="20"/>
        <w:szCs w:val="20"/>
      </w:rPr>
      <w:t xml:space="preserve">AJ Elachi &amp; IG Konwea: </w:t>
    </w:r>
    <w:r w:rsidRPr="00E70376">
      <w:rPr>
        <w:rFonts w:ascii="Times New Roman" w:hAnsi="Times New Roman" w:cs="Times New Roman"/>
        <w:sz w:val="20"/>
        <w:szCs w:val="20"/>
      </w:rPr>
      <w:t xml:space="preserve">Expert Witnesses </w:t>
    </w:r>
    <w:r>
      <w:rPr>
        <w:rFonts w:ascii="Times New Roman" w:hAnsi="Times New Roman" w:cs="Times New Roman"/>
        <w:sz w:val="20"/>
        <w:szCs w:val="20"/>
      </w:rPr>
      <w:t>i</w:t>
    </w:r>
    <w:r w:rsidRPr="00E70376">
      <w:rPr>
        <w:rFonts w:ascii="Times New Roman" w:hAnsi="Times New Roman" w:cs="Times New Roman"/>
        <w:sz w:val="20"/>
        <w:szCs w:val="20"/>
      </w:rPr>
      <w:t xml:space="preserve">n Arbitration Proceedings: Hired Guns </w:t>
    </w:r>
    <w:r>
      <w:rPr>
        <w:rFonts w:ascii="Times New Roman" w:hAnsi="Times New Roman" w:cs="Times New Roman"/>
        <w:sz w:val="20"/>
        <w:szCs w:val="20"/>
      </w:rPr>
      <w:t>o</w:t>
    </w:r>
    <w:r w:rsidRPr="00E70376">
      <w:rPr>
        <w:rFonts w:ascii="Times New Roman" w:hAnsi="Times New Roman" w:cs="Times New Roman"/>
        <w:sz w:val="20"/>
        <w:szCs w:val="20"/>
      </w:rPr>
      <w:t xml:space="preserve">r Neutral Fact-Finders? Rethinking Independence, Procedural Integrity, </w:t>
    </w:r>
    <w:r>
      <w:rPr>
        <w:rFonts w:ascii="Times New Roman" w:hAnsi="Times New Roman" w:cs="Times New Roman"/>
        <w:sz w:val="20"/>
        <w:szCs w:val="20"/>
      </w:rPr>
      <w:t>a</w:t>
    </w:r>
    <w:r w:rsidRPr="00E70376">
      <w:rPr>
        <w:rFonts w:ascii="Times New Roman" w:hAnsi="Times New Roman" w:cs="Times New Roman"/>
        <w:sz w:val="20"/>
        <w:szCs w:val="20"/>
      </w:rPr>
      <w:t xml:space="preserve">nd Evidentiary Value </w:t>
    </w:r>
    <w:r>
      <w:rPr>
        <w:rFonts w:ascii="Times New Roman" w:hAnsi="Times New Roman" w:cs="Times New Roman"/>
        <w:sz w:val="20"/>
        <w:szCs w:val="20"/>
      </w:rPr>
      <w:t>i</w:t>
    </w:r>
    <w:r w:rsidRPr="00E70376">
      <w:rPr>
        <w:rFonts w:ascii="Times New Roman" w:hAnsi="Times New Roman" w:cs="Times New Roman"/>
        <w:sz w:val="20"/>
        <w:szCs w:val="20"/>
      </w:rPr>
      <w:t>n Arbitration Practice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ED3F" w14:textId="77777777" w:rsidR="00032F2A" w:rsidRPr="00032F2A" w:rsidRDefault="00032F2A" w:rsidP="00032F2A">
    <w:pPr>
      <w:pStyle w:val="Header"/>
      <w:jc w:val="center"/>
      <w:rPr>
        <w:rFonts w:ascii="Times New Roman" w:hAnsi="Times New Roman" w:cs="Times New Roman"/>
        <w:sz w:val="20"/>
        <w:szCs w:val="20"/>
      </w:rPr>
    </w:pPr>
    <w:r w:rsidRPr="00032F2A">
      <w:rPr>
        <w:rFonts w:ascii="Times New Roman" w:hAnsi="Times New Roman" w:cs="Times New Roman"/>
        <w:i/>
        <w:iCs/>
        <w:sz w:val="20"/>
        <w:szCs w:val="20"/>
      </w:rPr>
      <w:t>African Journal of Legal Research</w:t>
    </w:r>
    <w:r w:rsidRPr="00032F2A">
      <w:rPr>
        <w:rFonts w:ascii="Times New Roman" w:hAnsi="Times New Roman" w:cs="Times New Roman"/>
        <w:sz w:val="20"/>
        <w:szCs w:val="20"/>
      </w:rPr>
      <w:t xml:space="preserve"> [AJLR] (2026) Vol. 4, No 3</w:t>
    </w:r>
  </w:p>
  <w:p w14:paraId="03208A62" w14:textId="2D413C64" w:rsidR="00032F2A" w:rsidRPr="00032F2A" w:rsidRDefault="00032F2A" w:rsidP="00032F2A">
    <w:pPr>
      <w:pStyle w:val="Header"/>
      <w:jc w:val="center"/>
      <w:rPr>
        <w:rFonts w:ascii="Times New Roman" w:hAnsi="Times New Roman" w:cs="Times New Roman"/>
        <w:sz w:val="20"/>
        <w:szCs w:val="20"/>
      </w:rPr>
    </w:pPr>
    <w:r w:rsidRPr="00032F2A">
      <w:rPr>
        <w:rFonts w:ascii="Times New Roman" w:hAnsi="Times New Roman" w:cs="Times New Roman"/>
        <w:sz w:val="20"/>
        <w:szCs w:val="20"/>
      </w:rPr>
      <w:t>https://africanjournaloflegalresearch.com [ISSN: 1595 – 5966]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87653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E1"/>
    <w:rsid w:val="00032F2A"/>
    <w:rsid w:val="00075AF6"/>
    <w:rsid w:val="000A18DA"/>
    <w:rsid w:val="001848E1"/>
    <w:rsid w:val="0030052A"/>
    <w:rsid w:val="00327DA8"/>
    <w:rsid w:val="003655D8"/>
    <w:rsid w:val="003C026A"/>
    <w:rsid w:val="004417FE"/>
    <w:rsid w:val="005E28D3"/>
    <w:rsid w:val="00623F60"/>
    <w:rsid w:val="006665E0"/>
    <w:rsid w:val="00693881"/>
    <w:rsid w:val="006B0B22"/>
    <w:rsid w:val="006B3EBE"/>
    <w:rsid w:val="006C1A00"/>
    <w:rsid w:val="00A31FCF"/>
    <w:rsid w:val="00A6014E"/>
    <w:rsid w:val="00A855E1"/>
    <w:rsid w:val="00BA5D11"/>
    <w:rsid w:val="00CF71E5"/>
    <w:rsid w:val="00D17E2A"/>
    <w:rsid w:val="00E70376"/>
    <w:rsid w:val="00F4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FC25"/>
  <w15:chartTrackingRefBased/>
  <w15:docId w15:val="{4A5F5D7A-78FF-834A-9416-A04034FE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8E1"/>
  </w:style>
  <w:style w:type="paragraph" w:styleId="Heading1">
    <w:name w:val="heading 1"/>
    <w:basedOn w:val="Normal"/>
    <w:next w:val="Normal"/>
    <w:link w:val="Heading1Char"/>
    <w:uiPriority w:val="9"/>
    <w:qFormat/>
    <w:rsid w:val="001848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8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8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8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8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8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8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8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8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8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8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8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8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8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8E1"/>
    <w:rPr>
      <w:rFonts w:eastAsiaTheme="majorEastAsia" w:cstheme="majorBidi"/>
      <w:color w:val="272727" w:themeColor="text1" w:themeTint="D8"/>
    </w:rPr>
  </w:style>
  <w:style w:type="paragraph" w:styleId="Title">
    <w:name w:val="Title"/>
    <w:basedOn w:val="Normal"/>
    <w:next w:val="Normal"/>
    <w:link w:val="TitleChar"/>
    <w:uiPriority w:val="10"/>
    <w:qFormat/>
    <w:rsid w:val="00184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8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8E1"/>
    <w:pPr>
      <w:spacing w:before="160"/>
      <w:jc w:val="center"/>
    </w:pPr>
    <w:rPr>
      <w:i/>
      <w:iCs/>
      <w:color w:val="404040" w:themeColor="text1" w:themeTint="BF"/>
    </w:rPr>
  </w:style>
  <w:style w:type="character" w:customStyle="1" w:styleId="QuoteChar">
    <w:name w:val="Quote Char"/>
    <w:basedOn w:val="DefaultParagraphFont"/>
    <w:link w:val="Quote"/>
    <w:uiPriority w:val="29"/>
    <w:rsid w:val="001848E1"/>
    <w:rPr>
      <w:i/>
      <w:iCs/>
      <w:color w:val="404040" w:themeColor="text1" w:themeTint="BF"/>
    </w:rPr>
  </w:style>
  <w:style w:type="paragraph" w:styleId="ListParagraph">
    <w:name w:val="List Paragraph"/>
    <w:basedOn w:val="Normal"/>
    <w:uiPriority w:val="34"/>
    <w:qFormat/>
    <w:rsid w:val="001848E1"/>
    <w:pPr>
      <w:ind w:left="720"/>
      <w:contextualSpacing/>
    </w:pPr>
  </w:style>
  <w:style w:type="character" w:styleId="IntenseEmphasis">
    <w:name w:val="Intense Emphasis"/>
    <w:basedOn w:val="DefaultParagraphFont"/>
    <w:uiPriority w:val="21"/>
    <w:qFormat/>
    <w:rsid w:val="001848E1"/>
    <w:rPr>
      <w:i/>
      <w:iCs/>
      <w:color w:val="0F4761" w:themeColor="accent1" w:themeShade="BF"/>
    </w:rPr>
  </w:style>
  <w:style w:type="paragraph" w:styleId="IntenseQuote">
    <w:name w:val="Intense Quote"/>
    <w:basedOn w:val="Normal"/>
    <w:next w:val="Normal"/>
    <w:link w:val="IntenseQuoteChar"/>
    <w:uiPriority w:val="30"/>
    <w:qFormat/>
    <w:rsid w:val="00184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8E1"/>
    <w:rPr>
      <w:i/>
      <w:iCs/>
      <w:color w:val="0F4761" w:themeColor="accent1" w:themeShade="BF"/>
    </w:rPr>
  </w:style>
  <w:style w:type="character" w:styleId="IntenseReference">
    <w:name w:val="Intense Reference"/>
    <w:basedOn w:val="DefaultParagraphFont"/>
    <w:uiPriority w:val="32"/>
    <w:qFormat/>
    <w:rsid w:val="001848E1"/>
    <w:rPr>
      <w:b/>
      <w:bCs/>
      <w:smallCaps/>
      <w:color w:val="0F4761" w:themeColor="accent1" w:themeShade="BF"/>
      <w:spacing w:val="5"/>
    </w:rPr>
  </w:style>
  <w:style w:type="paragraph" w:styleId="FootnoteText">
    <w:name w:val="footnote text"/>
    <w:basedOn w:val="Normal"/>
    <w:link w:val="FootnoteTextChar"/>
    <w:uiPriority w:val="99"/>
    <w:unhideWhenUsed/>
    <w:rsid w:val="001848E1"/>
    <w:pPr>
      <w:spacing w:after="0" w:line="240" w:lineRule="auto"/>
    </w:pPr>
    <w:rPr>
      <w:sz w:val="20"/>
      <w:szCs w:val="20"/>
    </w:rPr>
  </w:style>
  <w:style w:type="character" w:customStyle="1" w:styleId="FootnoteTextChar">
    <w:name w:val="Footnote Text Char"/>
    <w:basedOn w:val="DefaultParagraphFont"/>
    <w:link w:val="FootnoteText"/>
    <w:uiPriority w:val="99"/>
    <w:rsid w:val="001848E1"/>
    <w:rPr>
      <w:sz w:val="20"/>
      <w:szCs w:val="20"/>
    </w:rPr>
  </w:style>
  <w:style w:type="character" w:styleId="FootnoteReference">
    <w:name w:val="footnote reference"/>
    <w:basedOn w:val="DefaultParagraphFont"/>
    <w:uiPriority w:val="99"/>
    <w:semiHidden/>
    <w:unhideWhenUsed/>
    <w:rsid w:val="001848E1"/>
    <w:rPr>
      <w:vertAlign w:val="superscript"/>
    </w:rPr>
  </w:style>
  <w:style w:type="paragraph" w:styleId="Footer">
    <w:name w:val="footer"/>
    <w:basedOn w:val="Normal"/>
    <w:link w:val="FooterChar"/>
    <w:uiPriority w:val="99"/>
    <w:unhideWhenUsed/>
    <w:rsid w:val="00184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8E1"/>
  </w:style>
  <w:style w:type="character" w:styleId="PageNumber">
    <w:name w:val="page number"/>
    <w:basedOn w:val="DefaultParagraphFont"/>
    <w:uiPriority w:val="99"/>
    <w:semiHidden/>
    <w:unhideWhenUsed/>
    <w:rsid w:val="001848E1"/>
  </w:style>
  <w:style w:type="character" w:styleId="Hyperlink">
    <w:name w:val="Hyperlink"/>
    <w:basedOn w:val="DefaultParagraphFont"/>
    <w:uiPriority w:val="99"/>
    <w:unhideWhenUsed/>
    <w:rsid w:val="001848E1"/>
    <w:rPr>
      <w:color w:val="467886" w:themeColor="hyperlink"/>
      <w:u w:val="single"/>
    </w:rPr>
  </w:style>
  <w:style w:type="character" w:styleId="CommentReference">
    <w:name w:val="annotation reference"/>
    <w:basedOn w:val="DefaultParagraphFont"/>
    <w:uiPriority w:val="99"/>
    <w:semiHidden/>
    <w:unhideWhenUsed/>
    <w:rsid w:val="00075AF6"/>
    <w:rPr>
      <w:sz w:val="16"/>
      <w:szCs w:val="16"/>
    </w:rPr>
  </w:style>
  <w:style w:type="paragraph" w:styleId="CommentText">
    <w:name w:val="annotation text"/>
    <w:basedOn w:val="Normal"/>
    <w:link w:val="CommentTextChar"/>
    <w:uiPriority w:val="99"/>
    <w:semiHidden/>
    <w:unhideWhenUsed/>
    <w:rsid w:val="00075AF6"/>
    <w:pPr>
      <w:spacing w:line="240" w:lineRule="auto"/>
    </w:pPr>
    <w:rPr>
      <w:sz w:val="20"/>
      <w:szCs w:val="20"/>
    </w:rPr>
  </w:style>
  <w:style w:type="character" w:customStyle="1" w:styleId="CommentTextChar">
    <w:name w:val="Comment Text Char"/>
    <w:basedOn w:val="DefaultParagraphFont"/>
    <w:link w:val="CommentText"/>
    <w:uiPriority w:val="99"/>
    <w:semiHidden/>
    <w:rsid w:val="00075AF6"/>
    <w:rPr>
      <w:sz w:val="20"/>
      <w:szCs w:val="20"/>
    </w:rPr>
  </w:style>
  <w:style w:type="paragraph" w:styleId="CommentSubject">
    <w:name w:val="annotation subject"/>
    <w:basedOn w:val="CommentText"/>
    <w:next w:val="CommentText"/>
    <w:link w:val="CommentSubjectChar"/>
    <w:uiPriority w:val="99"/>
    <w:semiHidden/>
    <w:unhideWhenUsed/>
    <w:rsid w:val="00075AF6"/>
    <w:rPr>
      <w:b/>
      <w:bCs/>
    </w:rPr>
  </w:style>
  <w:style w:type="character" w:customStyle="1" w:styleId="CommentSubjectChar">
    <w:name w:val="Comment Subject Char"/>
    <w:basedOn w:val="CommentTextChar"/>
    <w:link w:val="CommentSubject"/>
    <w:uiPriority w:val="99"/>
    <w:semiHidden/>
    <w:rsid w:val="00075AF6"/>
    <w:rPr>
      <w:b/>
      <w:bCs/>
      <w:sz w:val="20"/>
      <w:szCs w:val="20"/>
    </w:rPr>
  </w:style>
  <w:style w:type="paragraph" w:styleId="Header">
    <w:name w:val="header"/>
    <w:basedOn w:val="Normal"/>
    <w:link w:val="HeaderChar"/>
    <w:uiPriority w:val="99"/>
    <w:unhideWhenUsed/>
    <w:rsid w:val="00441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wi.org.uk" TargetMode="External"/><Relationship Id="rId13" Type="http://schemas.openxmlformats.org/officeDocument/2006/relationships/hyperlink" Target="https://fidic.org/" TargetMode="External"/><Relationship Id="rId3" Type="http://schemas.openxmlformats.org/officeDocument/2006/relationships/hyperlink" Target="https://lagosarbitration.org" TargetMode="External"/><Relationship Id="rId7" Type="http://schemas.openxmlformats.org/officeDocument/2006/relationships/hyperlink" Target="https://www.lexology.com/library/detail.aspx?g=5bfa5f51-017b-4c1e-aa37-df1b40b86bc7" TargetMode="External"/><Relationship Id="rId12" Type="http://schemas.openxmlformats.org/officeDocument/2006/relationships/hyperlink" Target="https://sccarbitrationinstitute.se/en/" TargetMode="External"/><Relationship Id="rId17" Type="http://schemas.openxmlformats.org/officeDocument/2006/relationships/hyperlink" Target="https://www.unidroit.org" TargetMode="External"/><Relationship Id="rId2" Type="http://schemas.openxmlformats.org/officeDocument/2006/relationships/hyperlink" Target="https://www.justice.gov.uk/courts/procedure-rules/civil" TargetMode="External"/><Relationship Id="rId16" Type="http://schemas.openxmlformats.org/officeDocument/2006/relationships/hyperlink" Target="https://siac.org.sg/" TargetMode="External"/><Relationship Id="rId1" Type="http://schemas.openxmlformats.org/officeDocument/2006/relationships/hyperlink" Target="https://uncitral.un.org/sites/default/files/media-documents/uncitral/en/arb-notes-2016-e.pdf" TargetMode="External"/><Relationship Id="rId6" Type="http://schemas.openxmlformats.org/officeDocument/2006/relationships/hyperlink" Target="https://www.hkiac.org" TargetMode="External"/><Relationship Id="rId11" Type="http://schemas.openxmlformats.org/officeDocument/2006/relationships/hyperlink" Target="https://www.arbitration-icca.org" TargetMode="External"/><Relationship Id="rId5" Type="http://schemas.openxmlformats.org/officeDocument/2006/relationships/hyperlink" Target="https://www.siac.org.sg" TargetMode="External"/><Relationship Id="rId15" Type="http://schemas.openxmlformats.org/officeDocument/2006/relationships/hyperlink" Target="https://icsid.worldbank.org" TargetMode="External"/><Relationship Id="rId10" Type="http://schemas.openxmlformats.org/officeDocument/2006/relationships/hyperlink" Target="https://www.wipo.int" TargetMode="External"/><Relationship Id="rId4" Type="http://schemas.openxmlformats.org/officeDocument/2006/relationships/hyperlink" Target="https://kiac.org.rw" TargetMode="External"/><Relationship Id="rId9" Type="http://schemas.openxmlformats.org/officeDocument/2006/relationships/hyperlink" Target="https://academyofexperts.org/" TargetMode="External"/><Relationship Id="rId14" Type="http://schemas.openxmlformats.org/officeDocument/2006/relationships/hyperlink" Target="https://unesdoc.unesco.org/ark:/48223/pf0000381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D0920-C237-6A44-A86C-010A76EE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3905</Words>
  <Characters>22262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Ifeoma Konwea</dc:creator>
  <cp:keywords/>
  <dc:description/>
  <cp:lastModifiedBy>HP</cp:lastModifiedBy>
  <cp:revision>9</cp:revision>
  <dcterms:created xsi:type="dcterms:W3CDTF">2026-05-09T04:26:00Z</dcterms:created>
  <dcterms:modified xsi:type="dcterms:W3CDTF">2026-05-09T19:41:00Z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74d7019e-ca8a-4972-98c3-ff7301fac9e6</vt:lpwstr>
  </property>
</Properties>
</file>